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B8" w:rsidRPr="003B2534" w:rsidRDefault="004115B8" w:rsidP="004115B8">
      <w:pPr>
        <w:autoSpaceDE w:val="0"/>
        <w:autoSpaceDN w:val="0"/>
        <w:adjustRightInd w:val="0"/>
        <w:spacing w:after="0" w:line="240" w:lineRule="auto"/>
        <w:jc w:val="center"/>
        <w:rPr>
          <w:rFonts w:ascii="Garamond" w:hAnsi="Garamond" w:cs="CMR17"/>
          <w:sz w:val="41"/>
          <w:szCs w:val="41"/>
        </w:rPr>
      </w:pPr>
      <w:r w:rsidRPr="003B2534">
        <w:rPr>
          <w:rFonts w:ascii="Garamond" w:hAnsi="Garamond" w:cs="CMR17"/>
          <w:sz w:val="41"/>
          <w:szCs w:val="41"/>
        </w:rPr>
        <w:t xml:space="preserve">Missing Men and Female Labor Market Outcomes: </w:t>
      </w:r>
    </w:p>
    <w:p w:rsidR="004115B8" w:rsidRPr="003B2534" w:rsidRDefault="004115B8" w:rsidP="004115B8">
      <w:pPr>
        <w:autoSpaceDE w:val="0"/>
        <w:autoSpaceDN w:val="0"/>
        <w:adjustRightInd w:val="0"/>
        <w:spacing w:after="0" w:line="240" w:lineRule="auto"/>
        <w:jc w:val="center"/>
        <w:rPr>
          <w:rFonts w:ascii="Garamond" w:hAnsi="Garamond" w:cs="CMR17"/>
          <w:sz w:val="41"/>
          <w:szCs w:val="41"/>
        </w:rPr>
      </w:pPr>
      <w:r w:rsidRPr="003B2534">
        <w:rPr>
          <w:rFonts w:ascii="Garamond" w:hAnsi="Garamond" w:cs="CMR17"/>
          <w:sz w:val="41"/>
          <w:szCs w:val="41"/>
        </w:rPr>
        <w:t>Evidence from large-scale Mexican Migration</w:t>
      </w:r>
      <w:r w:rsidRPr="003B2534">
        <w:rPr>
          <w:rFonts w:ascii="Garamond" w:hAnsi="Garamond" w:cs="CMR17"/>
          <w:sz w:val="41"/>
          <w:szCs w:val="41"/>
          <w:vertAlign w:val="superscript"/>
        </w:rPr>
        <w:t>*</w:t>
      </w:r>
    </w:p>
    <w:p w:rsidR="004115B8" w:rsidRPr="003B2534" w:rsidRDefault="004115B8" w:rsidP="004115B8">
      <w:pPr>
        <w:autoSpaceDE w:val="0"/>
        <w:autoSpaceDN w:val="0"/>
        <w:adjustRightInd w:val="0"/>
        <w:spacing w:after="0" w:line="240" w:lineRule="auto"/>
        <w:jc w:val="both"/>
        <w:rPr>
          <w:rFonts w:ascii="Garamond" w:hAnsi="Garamond" w:cs="CMR17"/>
          <w:sz w:val="41"/>
          <w:szCs w:val="41"/>
        </w:rPr>
      </w:pPr>
    </w:p>
    <w:p w:rsidR="004115B8" w:rsidRPr="003B2534" w:rsidRDefault="004115B8" w:rsidP="004115B8">
      <w:pPr>
        <w:spacing w:after="0" w:line="480" w:lineRule="auto"/>
        <w:jc w:val="center"/>
        <w:rPr>
          <w:rFonts w:ascii="Garamond" w:hAnsi="Garamond" w:cs="CMR12"/>
          <w:sz w:val="28"/>
          <w:szCs w:val="28"/>
        </w:rPr>
      </w:pPr>
      <w:r w:rsidRPr="003B2534">
        <w:rPr>
          <w:rFonts w:ascii="Garamond" w:hAnsi="Garamond" w:cs="CMR12"/>
          <w:sz w:val="28"/>
          <w:szCs w:val="28"/>
        </w:rPr>
        <w:t xml:space="preserve">Emily Conover </w:t>
      </w:r>
      <w:r w:rsidRPr="003B2534">
        <w:rPr>
          <w:rFonts w:ascii="Garamond" w:hAnsi="Garamond" w:cs="CMR12"/>
          <w:sz w:val="28"/>
          <w:szCs w:val="28"/>
        </w:rPr>
        <w:tab/>
      </w:r>
      <w:r w:rsidRPr="003B2534">
        <w:rPr>
          <w:rFonts w:ascii="Garamond" w:hAnsi="Garamond" w:cs="CMR12"/>
          <w:sz w:val="28"/>
          <w:szCs w:val="28"/>
        </w:rPr>
        <w:tab/>
        <w:t xml:space="preserve">Melanie </w:t>
      </w:r>
      <w:proofErr w:type="spellStart"/>
      <w:r w:rsidRPr="003B2534">
        <w:rPr>
          <w:rFonts w:ascii="Garamond" w:hAnsi="Garamond" w:cs="CMR12"/>
          <w:sz w:val="28"/>
          <w:szCs w:val="28"/>
        </w:rPr>
        <w:t>Khamis</w:t>
      </w:r>
      <w:proofErr w:type="spellEnd"/>
      <w:r w:rsidRPr="003B2534">
        <w:rPr>
          <w:rFonts w:ascii="Garamond" w:hAnsi="Garamond" w:cs="CMR12"/>
          <w:sz w:val="28"/>
          <w:szCs w:val="28"/>
        </w:rPr>
        <w:t xml:space="preserve"> </w:t>
      </w:r>
      <w:r w:rsidRPr="003B2534">
        <w:rPr>
          <w:rFonts w:ascii="Garamond" w:hAnsi="Garamond" w:cs="CMR12"/>
          <w:sz w:val="28"/>
          <w:szCs w:val="28"/>
        </w:rPr>
        <w:tab/>
      </w:r>
      <w:r w:rsidRPr="003B2534">
        <w:rPr>
          <w:rFonts w:ascii="Garamond" w:hAnsi="Garamond" w:cs="CMR12"/>
          <w:sz w:val="28"/>
          <w:szCs w:val="28"/>
        </w:rPr>
        <w:tab/>
        <w:t>Sarah Pearlman</w:t>
      </w:r>
    </w:p>
    <w:p w:rsidR="004115B8" w:rsidRPr="003B2534" w:rsidRDefault="00D43E36" w:rsidP="004115B8">
      <w:pPr>
        <w:spacing w:after="0" w:line="240" w:lineRule="auto"/>
        <w:jc w:val="center"/>
        <w:rPr>
          <w:rFonts w:ascii="Garamond" w:hAnsi="Garamond" w:cs="CMR12"/>
          <w:sz w:val="28"/>
          <w:szCs w:val="28"/>
        </w:rPr>
      </w:pPr>
      <w:r>
        <w:rPr>
          <w:rFonts w:ascii="Garamond" w:hAnsi="Garamond" w:cs="CMR12"/>
          <w:sz w:val="28"/>
          <w:szCs w:val="28"/>
        </w:rPr>
        <w:t xml:space="preserve">March </w:t>
      </w:r>
      <w:r w:rsidR="003121EB">
        <w:rPr>
          <w:rFonts w:ascii="Garamond" w:hAnsi="Garamond" w:cs="CMR12"/>
          <w:sz w:val="28"/>
          <w:szCs w:val="28"/>
        </w:rPr>
        <w:t>2015</w:t>
      </w:r>
    </w:p>
    <w:p w:rsidR="004115B8" w:rsidRPr="003B2534" w:rsidRDefault="004115B8" w:rsidP="004115B8">
      <w:pPr>
        <w:spacing w:after="0" w:line="240" w:lineRule="auto"/>
        <w:jc w:val="center"/>
        <w:rPr>
          <w:rFonts w:ascii="Garamond" w:hAnsi="Garamond" w:cs="CMR12"/>
          <w:sz w:val="28"/>
          <w:szCs w:val="28"/>
        </w:rPr>
      </w:pPr>
    </w:p>
    <w:p w:rsidR="004115B8" w:rsidRPr="003B2534" w:rsidRDefault="004115B8" w:rsidP="004115B8">
      <w:pPr>
        <w:spacing w:after="0" w:line="240" w:lineRule="auto"/>
        <w:jc w:val="center"/>
        <w:rPr>
          <w:rFonts w:ascii="Garamond" w:hAnsi="Garamond" w:cs="CMR12"/>
          <w:sz w:val="28"/>
          <w:szCs w:val="28"/>
        </w:rPr>
      </w:pPr>
      <w:r w:rsidRPr="003B2534">
        <w:rPr>
          <w:rFonts w:ascii="Garamond" w:hAnsi="Garamond" w:cs="CMR12"/>
          <w:sz w:val="28"/>
          <w:szCs w:val="28"/>
        </w:rPr>
        <w:t>[Preliminary and Incomplete: Please do not cite without permission]</w:t>
      </w:r>
    </w:p>
    <w:p w:rsidR="004115B8" w:rsidRPr="003B2534" w:rsidRDefault="004115B8" w:rsidP="004115B8">
      <w:pPr>
        <w:spacing w:after="0" w:line="240" w:lineRule="auto"/>
        <w:jc w:val="center"/>
        <w:rPr>
          <w:rFonts w:ascii="Garamond" w:hAnsi="Garamond" w:cs="CMR12"/>
          <w:sz w:val="29"/>
          <w:szCs w:val="29"/>
        </w:rPr>
      </w:pPr>
    </w:p>
    <w:p w:rsidR="004115B8" w:rsidRPr="003B2534" w:rsidRDefault="004115B8" w:rsidP="004115B8">
      <w:pPr>
        <w:spacing w:after="0" w:line="240" w:lineRule="auto"/>
        <w:jc w:val="center"/>
        <w:rPr>
          <w:rFonts w:ascii="Garamond" w:hAnsi="Garamond" w:cs="CMR17"/>
          <w:b/>
          <w:sz w:val="29"/>
          <w:szCs w:val="29"/>
        </w:rPr>
      </w:pPr>
      <w:r w:rsidRPr="003B2534">
        <w:rPr>
          <w:rFonts w:ascii="Garamond" w:hAnsi="Garamond" w:cs="CMR17"/>
          <w:b/>
          <w:sz w:val="29"/>
          <w:szCs w:val="29"/>
        </w:rPr>
        <w:t>Abstract</w:t>
      </w:r>
    </w:p>
    <w:p w:rsidR="004115B8" w:rsidRPr="003B2534" w:rsidRDefault="004115B8" w:rsidP="004115B8">
      <w:pPr>
        <w:spacing w:after="0" w:line="240" w:lineRule="auto"/>
        <w:rPr>
          <w:rFonts w:ascii="Garamond" w:hAnsi="Garamond" w:cs="CMR17"/>
          <w:sz w:val="29"/>
          <w:szCs w:val="29"/>
        </w:rPr>
      </w:pPr>
    </w:p>
    <w:p w:rsidR="004115B8" w:rsidRPr="00511930" w:rsidRDefault="00276327" w:rsidP="004115B8">
      <w:pPr>
        <w:spacing w:after="0" w:line="240" w:lineRule="auto"/>
        <w:rPr>
          <w:rFonts w:ascii="Garamond" w:hAnsi="Garamond" w:cs="CMR17"/>
          <w:sz w:val="24"/>
          <w:szCs w:val="24"/>
        </w:rPr>
      </w:pPr>
      <w:r>
        <w:rPr>
          <w:rFonts w:ascii="Garamond" w:hAnsi="Garamond" w:cs="CMR17"/>
          <w:sz w:val="24"/>
          <w:szCs w:val="24"/>
        </w:rPr>
        <w:t xml:space="preserve">In developed countries, there is ambiguous evidence of the effect of a relative scarcity of men on female </w:t>
      </w:r>
      <w:r>
        <w:rPr>
          <w:rFonts w:ascii="Garamond" w:hAnsi="Garamond"/>
          <w:sz w:val="24"/>
          <w:szCs w:val="24"/>
        </w:rPr>
        <w:t xml:space="preserve">labor market participation. </w:t>
      </w:r>
      <w:r w:rsidR="004115B8" w:rsidRPr="003B2534">
        <w:rPr>
          <w:rFonts w:ascii="Garamond" w:hAnsi="Garamond" w:cs="CMR17"/>
          <w:sz w:val="24"/>
          <w:szCs w:val="24"/>
        </w:rPr>
        <w:t xml:space="preserve">There is little evidence of the effects of </w:t>
      </w:r>
      <w:r w:rsidR="004115B8" w:rsidRPr="003B2534">
        <w:rPr>
          <w:rFonts w:ascii="Garamond" w:hAnsi="Garamond"/>
          <w:sz w:val="24"/>
          <w:szCs w:val="24"/>
        </w:rPr>
        <w:t xml:space="preserve">changes in sex ratios on outcomes in developing countries. </w:t>
      </w:r>
      <w:r w:rsidR="004115B8" w:rsidRPr="003B2534">
        <w:rPr>
          <w:rFonts w:ascii="Garamond" w:hAnsi="Garamond" w:cs="CMR17"/>
          <w:sz w:val="24"/>
          <w:szCs w:val="24"/>
        </w:rPr>
        <w:t xml:space="preserve">We estimate the effects </w:t>
      </w:r>
      <w:r w:rsidR="004115B8" w:rsidRPr="003B2534">
        <w:rPr>
          <w:rFonts w:ascii="Garamond" w:hAnsi="Garamond"/>
          <w:sz w:val="24"/>
          <w:szCs w:val="24"/>
        </w:rPr>
        <w:t xml:space="preserve">of a lower male-female sex ratio on female labor market participation and outcomes in Mexico. </w:t>
      </w:r>
      <w:r w:rsidR="006F6188">
        <w:rPr>
          <w:rFonts w:ascii="Garamond" w:hAnsi="Garamond"/>
          <w:sz w:val="24"/>
          <w:szCs w:val="24"/>
        </w:rPr>
        <w:t xml:space="preserve">Using </w:t>
      </w:r>
      <w:r w:rsidR="00546E2B">
        <w:rPr>
          <w:rFonts w:ascii="Garamond" w:hAnsi="Garamond"/>
          <w:sz w:val="24"/>
          <w:szCs w:val="24"/>
        </w:rPr>
        <w:t>an</w:t>
      </w:r>
      <w:r w:rsidR="004115B8" w:rsidRPr="003B2534">
        <w:rPr>
          <w:rFonts w:ascii="Garamond" w:hAnsi="Garamond"/>
          <w:sz w:val="24"/>
          <w:szCs w:val="24"/>
        </w:rPr>
        <w:t xml:space="preserve"> instrument</w:t>
      </w:r>
      <w:r w:rsidR="006F6188">
        <w:rPr>
          <w:rFonts w:ascii="Garamond" w:hAnsi="Garamond"/>
          <w:sz w:val="24"/>
          <w:szCs w:val="24"/>
        </w:rPr>
        <w:t xml:space="preserve"> and</w:t>
      </w:r>
      <w:r w:rsidR="00546E2B">
        <w:rPr>
          <w:rFonts w:ascii="Garamond" w:hAnsi="Garamond"/>
          <w:sz w:val="24"/>
          <w:szCs w:val="24"/>
        </w:rPr>
        <w:t xml:space="preserve"> </w:t>
      </w:r>
      <w:r w:rsidR="004115B8" w:rsidRPr="003B2534">
        <w:rPr>
          <w:rFonts w:ascii="Garamond" w:hAnsi="Garamond"/>
          <w:sz w:val="24"/>
          <w:szCs w:val="24"/>
        </w:rPr>
        <w:t xml:space="preserve">variation in migration rates across states, cohorts and over time, </w:t>
      </w:r>
      <w:r w:rsidR="006F6188">
        <w:rPr>
          <w:rFonts w:ascii="Garamond" w:hAnsi="Garamond"/>
          <w:sz w:val="24"/>
          <w:szCs w:val="24"/>
        </w:rPr>
        <w:t>we</w:t>
      </w:r>
      <w:r w:rsidR="004115B8" w:rsidRPr="003B2534">
        <w:rPr>
          <w:rFonts w:ascii="Garamond" w:hAnsi="Garamond"/>
          <w:sz w:val="24"/>
          <w:szCs w:val="24"/>
        </w:rPr>
        <w:t xml:space="preserve"> isolate </w:t>
      </w:r>
      <w:r w:rsidR="006F6188">
        <w:rPr>
          <w:rFonts w:ascii="Garamond" w:hAnsi="Garamond"/>
          <w:sz w:val="24"/>
          <w:szCs w:val="24"/>
        </w:rPr>
        <w:t>an</w:t>
      </w:r>
      <w:r w:rsidR="006F6188" w:rsidRPr="003B2534">
        <w:rPr>
          <w:rFonts w:ascii="Garamond" w:hAnsi="Garamond"/>
          <w:sz w:val="24"/>
          <w:szCs w:val="24"/>
        </w:rPr>
        <w:t xml:space="preserve"> </w:t>
      </w:r>
      <w:r w:rsidR="004115B8" w:rsidRPr="003B2534">
        <w:rPr>
          <w:rFonts w:ascii="Garamond" w:hAnsi="Garamond"/>
          <w:sz w:val="24"/>
          <w:szCs w:val="24"/>
        </w:rPr>
        <w:t xml:space="preserve">exogenous </w:t>
      </w:r>
      <w:r w:rsidR="00D43E36">
        <w:rPr>
          <w:rFonts w:ascii="Garamond" w:hAnsi="Garamond"/>
          <w:sz w:val="24"/>
          <w:szCs w:val="24"/>
        </w:rPr>
        <w:t xml:space="preserve">U.S. labor market </w:t>
      </w:r>
      <w:r w:rsidR="004115B8" w:rsidRPr="003B2534">
        <w:rPr>
          <w:rFonts w:ascii="Garamond" w:hAnsi="Garamond"/>
          <w:sz w:val="24"/>
          <w:szCs w:val="24"/>
        </w:rPr>
        <w:t xml:space="preserve">demand shock </w:t>
      </w:r>
      <w:r w:rsidR="00CC7BCB">
        <w:rPr>
          <w:rFonts w:ascii="Garamond" w:hAnsi="Garamond"/>
          <w:sz w:val="24"/>
          <w:szCs w:val="24"/>
        </w:rPr>
        <w:t>on male</w:t>
      </w:r>
      <w:r w:rsidR="00CC7BCB" w:rsidRPr="003B2534">
        <w:rPr>
          <w:rFonts w:ascii="Garamond" w:hAnsi="Garamond"/>
          <w:sz w:val="24"/>
          <w:szCs w:val="24"/>
        </w:rPr>
        <w:t xml:space="preserve"> </w:t>
      </w:r>
      <w:r w:rsidR="004115B8" w:rsidRPr="003B2534">
        <w:rPr>
          <w:rFonts w:ascii="Garamond" w:hAnsi="Garamond"/>
          <w:sz w:val="24"/>
          <w:szCs w:val="24"/>
        </w:rPr>
        <w:t xml:space="preserve">Mexican </w:t>
      </w:r>
      <w:r w:rsidR="00CC7BCB">
        <w:rPr>
          <w:rFonts w:ascii="Garamond" w:hAnsi="Garamond"/>
          <w:sz w:val="24"/>
          <w:szCs w:val="24"/>
        </w:rPr>
        <w:t>workers</w:t>
      </w:r>
      <w:r w:rsidR="004115B8" w:rsidRPr="003B2534">
        <w:rPr>
          <w:rFonts w:ascii="Garamond" w:hAnsi="Garamond"/>
          <w:sz w:val="24"/>
          <w:szCs w:val="24"/>
        </w:rPr>
        <w:t>. Consistent with existing literature, we find that a reduction in the male-female sex ratio results in increased schooling for women</w:t>
      </w:r>
      <w:r w:rsidR="00CC7BCB">
        <w:rPr>
          <w:rFonts w:ascii="Garamond" w:hAnsi="Garamond"/>
          <w:sz w:val="24"/>
          <w:szCs w:val="24"/>
        </w:rPr>
        <w:t xml:space="preserve">, likelihood of employment and </w:t>
      </w:r>
      <w:r w:rsidR="004115B8" w:rsidRPr="003B2534">
        <w:rPr>
          <w:rFonts w:ascii="Garamond" w:hAnsi="Garamond"/>
          <w:sz w:val="24"/>
          <w:szCs w:val="24"/>
        </w:rPr>
        <w:t xml:space="preserve">fewer children. </w:t>
      </w:r>
      <w:r w:rsidR="00CC7BCB">
        <w:rPr>
          <w:rFonts w:ascii="Garamond" w:hAnsi="Garamond"/>
          <w:sz w:val="24"/>
          <w:szCs w:val="24"/>
        </w:rPr>
        <w:t xml:space="preserve">New results indicate that with a reduction in the number of males, women are more likely to have </w:t>
      </w:r>
      <w:r w:rsidR="007173B9">
        <w:rPr>
          <w:rFonts w:ascii="Garamond" w:hAnsi="Garamond"/>
          <w:sz w:val="24"/>
          <w:szCs w:val="24"/>
        </w:rPr>
        <w:t>white collar or “brain” jobs</w:t>
      </w:r>
      <w:r w:rsidR="006F6188">
        <w:rPr>
          <w:rFonts w:ascii="Garamond" w:hAnsi="Garamond"/>
          <w:sz w:val="24"/>
          <w:szCs w:val="24"/>
        </w:rPr>
        <w:t>, and</w:t>
      </w:r>
      <w:r w:rsidR="00546E2B">
        <w:rPr>
          <w:rFonts w:ascii="Garamond" w:hAnsi="Garamond"/>
          <w:sz w:val="24"/>
          <w:szCs w:val="24"/>
        </w:rPr>
        <w:t xml:space="preserve"> </w:t>
      </w:r>
      <w:r w:rsidR="00CC7BCB">
        <w:rPr>
          <w:rFonts w:ascii="Garamond" w:hAnsi="Garamond"/>
          <w:sz w:val="24"/>
          <w:szCs w:val="24"/>
        </w:rPr>
        <w:t>to be</w:t>
      </w:r>
      <w:r w:rsidR="004115B8" w:rsidRPr="003B2534">
        <w:rPr>
          <w:rFonts w:ascii="Garamond" w:hAnsi="Garamond"/>
          <w:sz w:val="24"/>
          <w:szCs w:val="24"/>
        </w:rPr>
        <w:t xml:space="preserve"> top earners. Our results are robust to different measures of migration</w:t>
      </w:r>
      <w:r w:rsidR="00ED2BA5">
        <w:rPr>
          <w:rFonts w:ascii="Garamond" w:hAnsi="Garamond"/>
          <w:sz w:val="24"/>
          <w:szCs w:val="24"/>
        </w:rPr>
        <w:t>.</w:t>
      </w:r>
      <w:r w:rsidR="00ED2BA5" w:rsidRPr="00A21341">
        <w:rPr>
          <w:rFonts w:ascii="Garamond" w:hAnsi="Garamond"/>
          <w:sz w:val="24"/>
          <w:szCs w:val="24"/>
        </w:rPr>
        <w:t xml:space="preserve">     </w:t>
      </w:r>
    </w:p>
    <w:p w:rsidR="004115B8" w:rsidRDefault="004115B8" w:rsidP="004115B8">
      <w:pPr>
        <w:spacing w:after="0" w:line="240" w:lineRule="auto"/>
        <w:ind w:left="360"/>
        <w:rPr>
          <w:rFonts w:ascii="Garamond" w:hAnsi="Garamond" w:cs="CMR17"/>
          <w:sz w:val="29"/>
          <w:szCs w:val="29"/>
        </w:rPr>
      </w:pPr>
    </w:p>
    <w:p w:rsidR="004115B8" w:rsidRDefault="004115B8" w:rsidP="004115B8">
      <w:pPr>
        <w:spacing w:after="0" w:line="240" w:lineRule="auto"/>
        <w:rPr>
          <w:rFonts w:ascii="Garamond" w:hAnsi="Garamond" w:cs="CMR17"/>
          <w:sz w:val="29"/>
          <w:szCs w:val="29"/>
        </w:rPr>
      </w:pPr>
    </w:p>
    <w:p w:rsidR="004115B8" w:rsidRDefault="004115B8" w:rsidP="004115B8">
      <w:pPr>
        <w:spacing w:after="0" w:line="240" w:lineRule="auto"/>
        <w:rPr>
          <w:rFonts w:ascii="Garamond" w:hAnsi="Garamond" w:cs="CMR17"/>
          <w:sz w:val="29"/>
          <w:szCs w:val="29"/>
        </w:rPr>
      </w:pPr>
    </w:p>
    <w:p w:rsidR="004115B8" w:rsidRPr="00A97B75" w:rsidRDefault="004115B8" w:rsidP="004115B8">
      <w:pPr>
        <w:spacing w:after="0" w:line="240" w:lineRule="auto"/>
        <w:rPr>
          <w:rFonts w:ascii="Garamond" w:hAnsi="Garamond" w:cs="CMR17"/>
          <w:sz w:val="24"/>
          <w:szCs w:val="24"/>
        </w:rPr>
      </w:pPr>
      <w:r w:rsidRPr="00831277">
        <w:rPr>
          <w:rFonts w:ascii="Garamond" w:hAnsi="Garamond" w:cs="CMR17"/>
          <w:b/>
          <w:sz w:val="24"/>
          <w:szCs w:val="24"/>
        </w:rPr>
        <w:t>JEL Classification:</w:t>
      </w:r>
      <w:r>
        <w:rPr>
          <w:rFonts w:ascii="Garamond" w:hAnsi="Garamond" w:cs="CMR17"/>
          <w:b/>
          <w:sz w:val="24"/>
          <w:szCs w:val="24"/>
        </w:rPr>
        <w:t xml:space="preserve"> </w:t>
      </w:r>
      <w:r>
        <w:rPr>
          <w:rFonts w:ascii="Garamond" w:hAnsi="Garamond" w:cs="CMR17"/>
          <w:sz w:val="24"/>
          <w:szCs w:val="24"/>
        </w:rPr>
        <w:t>J21, J12, J16, J31, O15.</w:t>
      </w:r>
    </w:p>
    <w:p w:rsidR="004115B8" w:rsidRPr="00B27DAF" w:rsidRDefault="004115B8" w:rsidP="004115B8">
      <w:pPr>
        <w:spacing w:after="0" w:line="240" w:lineRule="auto"/>
        <w:rPr>
          <w:rFonts w:ascii="Garamond" w:hAnsi="Garamond" w:cs="CMR17"/>
          <w:sz w:val="24"/>
          <w:szCs w:val="24"/>
        </w:rPr>
      </w:pPr>
      <w:r w:rsidRPr="00831277">
        <w:rPr>
          <w:rFonts w:ascii="Garamond" w:hAnsi="Garamond" w:cs="CMR17"/>
          <w:b/>
          <w:sz w:val="24"/>
          <w:szCs w:val="24"/>
        </w:rPr>
        <w:t>Keywords:</w:t>
      </w:r>
      <w:r w:rsidRPr="00B27DAF">
        <w:rPr>
          <w:rFonts w:ascii="Garamond" w:hAnsi="Garamond" w:cs="CMR17"/>
          <w:sz w:val="24"/>
          <w:szCs w:val="24"/>
        </w:rPr>
        <w:t xml:space="preserve"> </w:t>
      </w:r>
      <w:r>
        <w:rPr>
          <w:rFonts w:ascii="Garamond" w:hAnsi="Garamond" w:cs="CMR17"/>
          <w:sz w:val="24"/>
          <w:szCs w:val="24"/>
        </w:rPr>
        <w:t>Sex ratio, Mexico, Female labor force participation, Female labor market outcomes, Migration.</w:t>
      </w:r>
    </w:p>
    <w:p w:rsidR="004115B8" w:rsidRDefault="004115B8" w:rsidP="004115B8">
      <w:pPr>
        <w:spacing w:after="0" w:line="240" w:lineRule="auto"/>
        <w:rPr>
          <w:rFonts w:ascii="Garamond" w:hAnsi="Garamond" w:cs="CMR17"/>
          <w:sz w:val="24"/>
          <w:szCs w:val="24"/>
        </w:rPr>
      </w:pPr>
    </w:p>
    <w:p w:rsidR="004115B8" w:rsidRPr="00B27DAF" w:rsidRDefault="004115B8" w:rsidP="004115B8">
      <w:pPr>
        <w:spacing w:after="0" w:line="240" w:lineRule="auto"/>
        <w:rPr>
          <w:rFonts w:ascii="Garamond" w:hAnsi="Garamond" w:cs="CMR17"/>
          <w:sz w:val="24"/>
          <w:szCs w:val="24"/>
        </w:rPr>
      </w:pPr>
      <w:r>
        <w:rPr>
          <w:rFonts w:ascii="Garamond" w:hAnsi="Garamond" w:cs="CMR17"/>
          <w:sz w:val="24"/>
          <w:szCs w:val="24"/>
        </w:rPr>
        <w:t>___________________________________</w:t>
      </w:r>
    </w:p>
    <w:p w:rsidR="004115B8" w:rsidRDefault="004115B8" w:rsidP="004115B8">
      <w:pPr>
        <w:spacing w:after="0" w:line="240" w:lineRule="auto"/>
        <w:rPr>
          <w:rFonts w:ascii="Garamond" w:hAnsi="Garamond" w:cs="CMR17"/>
        </w:rPr>
      </w:pPr>
      <w:r w:rsidRPr="00511930">
        <w:rPr>
          <w:rFonts w:ascii="Garamond" w:hAnsi="Garamond" w:cs="CMR17"/>
          <w:vertAlign w:val="superscript"/>
        </w:rPr>
        <w:t>*</w:t>
      </w:r>
      <w:r w:rsidRPr="00511930">
        <w:rPr>
          <w:rFonts w:ascii="Garamond" w:hAnsi="Garamond" w:cs="CMR17"/>
        </w:rPr>
        <w:t xml:space="preserve">Contact information: Emily Conover, Department of Economics, Hamilton College, </w:t>
      </w:r>
      <w:hyperlink r:id="rId9" w:history="1">
        <w:r w:rsidRPr="00511930">
          <w:rPr>
            <w:rStyle w:val="Hyperlink"/>
            <w:rFonts w:ascii="Garamond" w:hAnsi="Garamond" w:cs="CMR17"/>
          </w:rPr>
          <w:t>econover@hamilton.edu</w:t>
        </w:r>
      </w:hyperlink>
      <w:r w:rsidRPr="00511930">
        <w:rPr>
          <w:rFonts w:ascii="Garamond" w:hAnsi="Garamond" w:cs="CMR17"/>
        </w:rPr>
        <w:t>; Melanie Khamis, Department of Economics, Wesleyan University</w:t>
      </w:r>
      <w:r w:rsidR="00EF61BA">
        <w:rPr>
          <w:rFonts w:ascii="Garamond" w:hAnsi="Garamond" w:cs="CMR17"/>
        </w:rPr>
        <w:t xml:space="preserve"> and IZA</w:t>
      </w:r>
      <w:r w:rsidRPr="00511930">
        <w:rPr>
          <w:rFonts w:ascii="Garamond" w:hAnsi="Garamond" w:cs="CMR17"/>
        </w:rPr>
        <w:t xml:space="preserve">, </w:t>
      </w:r>
      <w:r w:rsidRPr="00511930">
        <w:rPr>
          <w:rStyle w:val="Hyperlink"/>
          <w:rFonts w:ascii="Garamond" w:hAnsi="Garamond" w:cs="CMR17"/>
        </w:rPr>
        <w:t>mkhamis@wesleyan.edu</w:t>
      </w:r>
      <w:r w:rsidRPr="00511930">
        <w:rPr>
          <w:rFonts w:ascii="Garamond" w:hAnsi="Garamond" w:cs="CMR17"/>
        </w:rPr>
        <w:t xml:space="preserve">; corresponding author: Sarah Pearlman, Department of Economics, Vassar College, </w:t>
      </w:r>
      <w:hyperlink r:id="rId10" w:history="1">
        <w:r w:rsidRPr="00511930">
          <w:rPr>
            <w:rStyle w:val="Hyperlink"/>
            <w:rFonts w:ascii="Garamond" w:hAnsi="Garamond" w:cs="CMR17"/>
          </w:rPr>
          <w:t>sapearlman@vassar.edu</w:t>
        </w:r>
      </w:hyperlink>
      <w:r w:rsidRPr="00511930">
        <w:rPr>
          <w:rFonts w:ascii="Arial" w:hAnsi="Arial" w:cs="Arial"/>
          <w:color w:val="222222"/>
          <w:shd w:val="clear" w:color="auto" w:fill="FFFFFF"/>
        </w:rPr>
        <w:t xml:space="preserve">. </w:t>
      </w:r>
      <w:r w:rsidRPr="00511930">
        <w:rPr>
          <w:rFonts w:ascii="Garamond" w:hAnsi="Garamond" w:cs="CMR17"/>
        </w:rPr>
        <w:t xml:space="preserve">Comments welcome. </w:t>
      </w:r>
      <w:r>
        <w:rPr>
          <w:rFonts w:ascii="Garamond" w:hAnsi="Garamond" w:cs="CMR17"/>
        </w:rPr>
        <w:t>Thank you to participants at the World Bank/IZA conference on Labor and Development</w:t>
      </w:r>
      <w:r w:rsidR="00F92437">
        <w:rPr>
          <w:rFonts w:ascii="Garamond" w:hAnsi="Garamond" w:cs="CMR17"/>
        </w:rPr>
        <w:t>, the PACDEV conference and Wesleyan University</w:t>
      </w:r>
      <w:r w:rsidRPr="00511930">
        <w:rPr>
          <w:rFonts w:ascii="Garamond" w:hAnsi="Garamond" w:cs="CMR17"/>
        </w:rPr>
        <w:t>.</w:t>
      </w:r>
      <w:r w:rsidR="00F92437">
        <w:rPr>
          <w:rFonts w:ascii="Garamond" w:hAnsi="Garamond" w:cs="CMR17"/>
        </w:rPr>
        <w:t xml:space="preserve"> We also would like to thank Rachel Heath, Adriana </w:t>
      </w:r>
      <w:proofErr w:type="spellStart"/>
      <w:r w:rsidR="00F92437">
        <w:rPr>
          <w:rFonts w:ascii="Garamond" w:hAnsi="Garamond" w:cs="CMR17"/>
        </w:rPr>
        <w:t>Kugler</w:t>
      </w:r>
      <w:proofErr w:type="spellEnd"/>
      <w:r w:rsidR="00F92437">
        <w:rPr>
          <w:rFonts w:ascii="Garamond" w:hAnsi="Garamond" w:cs="CMR17"/>
        </w:rPr>
        <w:t xml:space="preserve">, </w:t>
      </w:r>
      <w:proofErr w:type="spellStart"/>
      <w:r w:rsidR="00F92437">
        <w:rPr>
          <w:rFonts w:ascii="Garamond" w:hAnsi="Garamond" w:cs="CMR17"/>
        </w:rPr>
        <w:t>Annemie</w:t>
      </w:r>
      <w:proofErr w:type="spellEnd"/>
      <w:r w:rsidR="00F92437">
        <w:rPr>
          <w:rFonts w:ascii="Garamond" w:hAnsi="Garamond" w:cs="CMR17"/>
        </w:rPr>
        <w:t xml:space="preserve"> </w:t>
      </w:r>
      <w:proofErr w:type="spellStart"/>
      <w:r w:rsidR="00F92437">
        <w:rPr>
          <w:rFonts w:ascii="Garamond" w:hAnsi="Garamond" w:cs="CMR17"/>
        </w:rPr>
        <w:t>Maertens</w:t>
      </w:r>
      <w:proofErr w:type="spellEnd"/>
      <w:r w:rsidR="00F92437">
        <w:rPr>
          <w:rFonts w:ascii="Garamond" w:hAnsi="Garamond" w:cs="CMR17"/>
        </w:rPr>
        <w:t xml:space="preserve">, Laura Schechter, </w:t>
      </w:r>
      <w:proofErr w:type="spellStart"/>
      <w:r w:rsidR="00F92437">
        <w:rPr>
          <w:rFonts w:ascii="Garamond" w:hAnsi="Garamond" w:cs="CMR17"/>
        </w:rPr>
        <w:t>Shing</w:t>
      </w:r>
      <w:proofErr w:type="spellEnd"/>
      <w:r w:rsidR="00F92437">
        <w:rPr>
          <w:rFonts w:ascii="Garamond" w:hAnsi="Garamond" w:cs="CMR17"/>
        </w:rPr>
        <w:t xml:space="preserve">-Yi Wang and </w:t>
      </w:r>
      <w:proofErr w:type="spellStart"/>
      <w:r w:rsidR="00F92437">
        <w:rPr>
          <w:rFonts w:ascii="Garamond" w:hAnsi="Garamond" w:cs="CMR17"/>
        </w:rPr>
        <w:t>Mutlu</w:t>
      </w:r>
      <w:proofErr w:type="spellEnd"/>
      <w:r w:rsidR="00F92437">
        <w:rPr>
          <w:rFonts w:ascii="Garamond" w:hAnsi="Garamond" w:cs="CMR17"/>
        </w:rPr>
        <w:t xml:space="preserve"> </w:t>
      </w:r>
      <w:proofErr w:type="spellStart"/>
      <w:r w:rsidR="00F92437">
        <w:rPr>
          <w:rFonts w:ascii="Garamond" w:hAnsi="Garamond" w:cs="CMR17"/>
        </w:rPr>
        <w:t>Yuksel</w:t>
      </w:r>
      <w:proofErr w:type="spellEnd"/>
      <w:r w:rsidR="00F92437">
        <w:rPr>
          <w:rFonts w:ascii="Garamond" w:hAnsi="Garamond" w:cs="CMR17"/>
        </w:rPr>
        <w:t xml:space="preserve"> for helpful suggestions and comments</w:t>
      </w:r>
      <w:r w:rsidR="00665193">
        <w:rPr>
          <w:rFonts w:ascii="Garamond" w:hAnsi="Garamond" w:cs="CMR17"/>
        </w:rPr>
        <w:t xml:space="preserve"> at early stages of this project</w:t>
      </w:r>
      <w:r w:rsidR="00F92437">
        <w:rPr>
          <w:rFonts w:ascii="Garamond" w:hAnsi="Garamond" w:cs="CMR17"/>
        </w:rPr>
        <w:t xml:space="preserve">. </w:t>
      </w:r>
      <w:proofErr w:type="gramStart"/>
      <w:r w:rsidRPr="00511930">
        <w:rPr>
          <w:rFonts w:ascii="Garamond" w:hAnsi="Garamond" w:cs="CMR17"/>
        </w:rPr>
        <w:t xml:space="preserve">©by Emily Conover, Melanie </w:t>
      </w:r>
      <w:proofErr w:type="spellStart"/>
      <w:r w:rsidRPr="00511930">
        <w:rPr>
          <w:rFonts w:ascii="Garamond" w:hAnsi="Garamond" w:cs="CMR17"/>
        </w:rPr>
        <w:t>Khamis</w:t>
      </w:r>
      <w:proofErr w:type="spellEnd"/>
      <w:r w:rsidRPr="00511930">
        <w:rPr>
          <w:rFonts w:ascii="Garamond" w:hAnsi="Garamond" w:cs="CMR17"/>
        </w:rPr>
        <w:t xml:space="preserve"> and Sarah Pearlman.</w:t>
      </w:r>
      <w:proofErr w:type="gramEnd"/>
      <w:r w:rsidRPr="00511930">
        <w:rPr>
          <w:rFonts w:ascii="Garamond" w:hAnsi="Garamond" w:cs="CMR17"/>
        </w:rPr>
        <w:t xml:space="preserve"> All rights reserved. </w:t>
      </w:r>
    </w:p>
    <w:p w:rsidR="004115B8" w:rsidRPr="00815BF2" w:rsidRDefault="004115B8" w:rsidP="003E5BFA">
      <w:pPr>
        <w:numPr>
          <w:ilvl w:val="0"/>
          <w:numId w:val="8"/>
        </w:numPr>
        <w:spacing w:after="0" w:line="480" w:lineRule="auto"/>
        <w:rPr>
          <w:rFonts w:ascii="Garamond" w:hAnsi="Garamond"/>
          <w:b/>
          <w:sz w:val="24"/>
          <w:szCs w:val="24"/>
        </w:rPr>
      </w:pPr>
      <w:r>
        <w:rPr>
          <w:rFonts w:ascii="Garamond" w:hAnsi="Garamond" w:cs="CMR17"/>
        </w:rPr>
        <w:br w:type="page"/>
      </w:r>
      <w:r w:rsidRPr="00815BF2">
        <w:rPr>
          <w:rFonts w:ascii="Garamond" w:hAnsi="Garamond"/>
          <w:b/>
          <w:sz w:val="24"/>
          <w:szCs w:val="24"/>
        </w:rPr>
        <w:lastRenderedPageBreak/>
        <w:t xml:space="preserve">Introduction </w:t>
      </w:r>
    </w:p>
    <w:p w:rsidR="00633BFB" w:rsidRDefault="004115B8" w:rsidP="00546E2B">
      <w:pPr>
        <w:spacing w:line="480" w:lineRule="auto"/>
        <w:rPr>
          <w:rFonts w:ascii="Garamond" w:hAnsi="Garamond"/>
          <w:sz w:val="24"/>
          <w:szCs w:val="24"/>
        </w:rPr>
      </w:pPr>
      <w:r w:rsidRPr="00633BFB">
        <w:rPr>
          <w:rFonts w:ascii="Garamond" w:hAnsi="Garamond"/>
          <w:sz w:val="24"/>
          <w:szCs w:val="24"/>
        </w:rPr>
        <w:t>The natural ratio of men to women is approximately one to one</w:t>
      </w:r>
      <w:r w:rsidR="00D43E36">
        <w:rPr>
          <w:rFonts w:ascii="Garamond" w:hAnsi="Garamond"/>
          <w:sz w:val="24"/>
          <w:szCs w:val="24"/>
        </w:rPr>
        <w:t xml:space="preserve"> (Sen 1990)</w:t>
      </w:r>
      <w:r w:rsidRPr="00633BFB">
        <w:rPr>
          <w:rFonts w:ascii="Garamond" w:hAnsi="Garamond"/>
          <w:sz w:val="24"/>
          <w:szCs w:val="24"/>
        </w:rPr>
        <w:t>.</w:t>
      </w:r>
      <w:r w:rsidR="00C9772E">
        <w:rPr>
          <w:rStyle w:val="FootnoteReference"/>
          <w:rFonts w:ascii="Garamond" w:hAnsi="Garamond"/>
          <w:sz w:val="24"/>
          <w:szCs w:val="24"/>
        </w:rPr>
        <w:footnoteReference w:id="1"/>
      </w:r>
      <w:r w:rsidRPr="00633BFB">
        <w:rPr>
          <w:rFonts w:ascii="Garamond" w:hAnsi="Garamond"/>
          <w:sz w:val="24"/>
          <w:szCs w:val="24"/>
        </w:rPr>
        <w:t xml:space="preserve"> However, sex-selective abortion, infanticide, diseases, famines, violence, wars, incarceration and migration can alter this ratio and lead to missing men or missing women. The relative scarcity of men or women has important consequences on</w:t>
      </w:r>
      <w:r w:rsidR="004F048E" w:rsidRPr="00633BFB">
        <w:rPr>
          <w:rFonts w:ascii="Garamond" w:hAnsi="Garamond"/>
          <w:sz w:val="24"/>
          <w:szCs w:val="24"/>
        </w:rPr>
        <w:t>:</w:t>
      </w:r>
      <w:r w:rsidRPr="00633BFB">
        <w:rPr>
          <w:rFonts w:ascii="Garamond" w:hAnsi="Garamond"/>
          <w:sz w:val="24"/>
          <w:szCs w:val="24"/>
        </w:rPr>
        <w:t xml:space="preserve"> </w:t>
      </w:r>
      <w:r w:rsidR="004F048E" w:rsidRPr="00633BFB">
        <w:rPr>
          <w:rFonts w:ascii="Garamond" w:hAnsi="Garamond"/>
          <w:sz w:val="24"/>
          <w:szCs w:val="24"/>
        </w:rPr>
        <w:t xml:space="preserve">fertility, </w:t>
      </w:r>
      <w:r w:rsidRPr="00633BFB">
        <w:rPr>
          <w:rFonts w:ascii="Garamond" w:hAnsi="Garamond"/>
          <w:sz w:val="24"/>
          <w:szCs w:val="24"/>
        </w:rPr>
        <w:t>marriage and labor markets, and in investments in human capital. Women are less likely to marry and have children, while at the same time out-of-wedlock child bearing increases (</w:t>
      </w:r>
      <w:proofErr w:type="spellStart"/>
      <w:r w:rsidRPr="00633BFB">
        <w:rPr>
          <w:rFonts w:ascii="Garamond" w:hAnsi="Garamond"/>
          <w:sz w:val="24"/>
          <w:szCs w:val="24"/>
        </w:rPr>
        <w:t>Abramitzky</w:t>
      </w:r>
      <w:proofErr w:type="spellEnd"/>
      <w:r w:rsidRPr="00633BFB">
        <w:rPr>
          <w:rFonts w:ascii="Garamond" w:hAnsi="Garamond"/>
          <w:sz w:val="24"/>
          <w:szCs w:val="24"/>
        </w:rPr>
        <w:t xml:space="preserve"> et al. 2011; Charles and </w:t>
      </w:r>
      <w:proofErr w:type="spellStart"/>
      <w:r w:rsidRPr="00633BFB">
        <w:rPr>
          <w:rFonts w:ascii="Garamond" w:hAnsi="Garamond"/>
          <w:sz w:val="24"/>
          <w:szCs w:val="24"/>
        </w:rPr>
        <w:t>Luoh</w:t>
      </w:r>
      <w:proofErr w:type="spellEnd"/>
      <w:r w:rsidRPr="00633BFB">
        <w:rPr>
          <w:rFonts w:ascii="Garamond" w:hAnsi="Garamond"/>
          <w:sz w:val="24"/>
          <w:szCs w:val="24"/>
        </w:rPr>
        <w:t xml:space="preserve"> 2010). The evidence on female labor force participation and labor market outcomes is less clear: </w:t>
      </w:r>
      <w:proofErr w:type="spellStart"/>
      <w:r w:rsidRPr="00633BFB">
        <w:rPr>
          <w:rFonts w:ascii="Garamond" w:hAnsi="Garamond"/>
          <w:sz w:val="24"/>
          <w:szCs w:val="24"/>
        </w:rPr>
        <w:t>Acemoglu</w:t>
      </w:r>
      <w:proofErr w:type="spellEnd"/>
      <w:r w:rsidRPr="00633BFB">
        <w:rPr>
          <w:rFonts w:ascii="Garamond" w:hAnsi="Garamond"/>
          <w:sz w:val="24"/>
          <w:szCs w:val="24"/>
        </w:rPr>
        <w:t xml:space="preserve"> et al. (2004) find increases in labor force participation of women in the US after WWII</w:t>
      </w:r>
      <w:r w:rsidR="00633BFB">
        <w:rPr>
          <w:rFonts w:ascii="Garamond" w:hAnsi="Garamond"/>
          <w:sz w:val="24"/>
          <w:szCs w:val="24"/>
        </w:rPr>
        <w:t>,</w:t>
      </w:r>
      <w:r w:rsidRPr="00633BFB">
        <w:rPr>
          <w:rFonts w:ascii="Garamond" w:hAnsi="Garamond"/>
          <w:sz w:val="24"/>
          <w:szCs w:val="24"/>
        </w:rPr>
        <w:t xml:space="preserve"> while Goldin (2001) finds a lower effect on female employment. </w:t>
      </w:r>
      <w:r w:rsidR="001E5B04">
        <w:rPr>
          <w:rFonts w:ascii="Garamond" w:hAnsi="Garamond"/>
          <w:sz w:val="24"/>
          <w:szCs w:val="24"/>
        </w:rPr>
        <w:t xml:space="preserve">Since, theoretically the effect of a </w:t>
      </w:r>
      <w:r w:rsidRPr="00633BFB">
        <w:rPr>
          <w:rFonts w:ascii="Garamond" w:hAnsi="Garamond"/>
          <w:sz w:val="24"/>
          <w:szCs w:val="24"/>
        </w:rPr>
        <w:t xml:space="preserve">lower ratio of men to women </w:t>
      </w:r>
      <w:r w:rsidR="001E5B04">
        <w:rPr>
          <w:rFonts w:ascii="Garamond" w:hAnsi="Garamond"/>
          <w:sz w:val="24"/>
          <w:szCs w:val="24"/>
        </w:rPr>
        <w:t xml:space="preserve">on the </w:t>
      </w:r>
      <w:r w:rsidRPr="00633BFB">
        <w:rPr>
          <w:rFonts w:ascii="Garamond" w:hAnsi="Garamond"/>
          <w:sz w:val="24"/>
          <w:szCs w:val="24"/>
        </w:rPr>
        <w:t xml:space="preserve">subsequent </w:t>
      </w:r>
      <w:r w:rsidR="00B235D5">
        <w:rPr>
          <w:rFonts w:ascii="Garamond" w:hAnsi="Garamond"/>
          <w:sz w:val="24"/>
          <w:szCs w:val="24"/>
        </w:rPr>
        <w:t>effects</w:t>
      </w:r>
      <w:r w:rsidR="00B235D5" w:rsidRPr="00633BFB">
        <w:rPr>
          <w:rFonts w:ascii="Garamond" w:hAnsi="Garamond"/>
          <w:sz w:val="24"/>
          <w:szCs w:val="24"/>
        </w:rPr>
        <w:t xml:space="preserve"> </w:t>
      </w:r>
      <w:r w:rsidRPr="00633BFB">
        <w:rPr>
          <w:rFonts w:ascii="Garamond" w:hAnsi="Garamond"/>
          <w:sz w:val="24"/>
          <w:szCs w:val="24"/>
        </w:rPr>
        <w:t xml:space="preserve">in female labor market outcomes </w:t>
      </w:r>
      <w:r w:rsidR="001E5B04">
        <w:rPr>
          <w:rFonts w:ascii="Garamond" w:hAnsi="Garamond"/>
          <w:sz w:val="24"/>
          <w:szCs w:val="24"/>
        </w:rPr>
        <w:t xml:space="preserve">could be ambiguous, it is important </w:t>
      </w:r>
      <w:r w:rsidRPr="00633BFB">
        <w:rPr>
          <w:rFonts w:ascii="Garamond" w:hAnsi="Garamond"/>
          <w:sz w:val="24"/>
          <w:szCs w:val="24"/>
        </w:rPr>
        <w:t>to document further</w:t>
      </w:r>
      <w:r w:rsidR="001E5B04">
        <w:rPr>
          <w:rFonts w:ascii="Garamond" w:hAnsi="Garamond"/>
          <w:sz w:val="24"/>
          <w:szCs w:val="24"/>
        </w:rPr>
        <w:t xml:space="preserve"> what happens when this ratio changes</w:t>
      </w:r>
      <w:r w:rsidR="00DB7C0A">
        <w:rPr>
          <w:rFonts w:ascii="Garamond" w:hAnsi="Garamond"/>
          <w:sz w:val="24"/>
          <w:szCs w:val="24"/>
        </w:rPr>
        <w:t xml:space="preserve">. This is particularly pressing </w:t>
      </w:r>
      <w:r w:rsidRPr="00633BFB">
        <w:rPr>
          <w:rFonts w:ascii="Garamond" w:hAnsi="Garamond"/>
          <w:sz w:val="24"/>
          <w:szCs w:val="24"/>
        </w:rPr>
        <w:t>in the context of developing countries</w:t>
      </w:r>
      <w:r w:rsidR="00DB7C0A">
        <w:rPr>
          <w:rFonts w:ascii="Garamond" w:hAnsi="Garamond"/>
          <w:sz w:val="24"/>
          <w:szCs w:val="24"/>
        </w:rPr>
        <w:t xml:space="preserve"> where to our knowledge, this question has not been studied before and this change is more likely to occur.</w:t>
      </w:r>
      <w:r w:rsidRPr="00633BFB">
        <w:rPr>
          <w:rStyle w:val="FootnoteReference"/>
          <w:rFonts w:ascii="Garamond" w:hAnsi="Garamond"/>
          <w:sz w:val="24"/>
          <w:szCs w:val="24"/>
        </w:rPr>
        <w:footnoteReference w:id="2"/>
      </w:r>
      <w:r>
        <w:rPr>
          <w:rFonts w:ascii="Garamond" w:hAnsi="Garamond"/>
          <w:sz w:val="24"/>
          <w:szCs w:val="24"/>
        </w:rPr>
        <w:t xml:space="preserve"> </w:t>
      </w:r>
      <w:r w:rsidR="00677B18">
        <w:rPr>
          <w:rStyle w:val="FootnoteReference"/>
          <w:rFonts w:ascii="Garamond" w:hAnsi="Garamond"/>
          <w:sz w:val="24"/>
          <w:szCs w:val="24"/>
        </w:rPr>
        <w:footnoteReference w:id="3"/>
      </w:r>
      <w:r>
        <w:rPr>
          <w:rFonts w:ascii="Garamond" w:hAnsi="Garamond"/>
          <w:sz w:val="24"/>
          <w:szCs w:val="24"/>
        </w:rPr>
        <w:t xml:space="preserve"> </w:t>
      </w:r>
      <w:r w:rsidR="00DB7C0A">
        <w:rPr>
          <w:rFonts w:ascii="Garamond" w:hAnsi="Garamond"/>
          <w:sz w:val="24"/>
          <w:szCs w:val="24"/>
        </w:rPr>
        <w:t>We contribute to the literature by documenting the effects of a lower male-female sex ratio on the female labor market, using large-scale migration of Mexican men to the US as a shock to the sex</w:t>
      </w:r>
      <w:r w:rsidR="00DB7C0A" w:rsidRPr="00633BFB">
        <w:rPr>
          <w:rFonts w:ascii="Garamond" w:hAnsi="Garamond"/>
          <w:sz w:val="24"/>
          <w:szCs w:val="24"/>
        </w:rPr>
        <w:t xml:space="preserve"> ratio.</w:t>
      </w:r>
      <w:r w:rsidR="00DB7C0A" w:rsidRPr="00633BFB">
        <w:rPr>
          <w:rStyle w:val="FootnoteReference"/>
          <w:rFonts w:ascii="Garamond" w:hAnsi="Garamond"/>
          <w:sz w:val="24"/>
          <w:szCs w:val="24"/>
        </w:rPr>
        <w:footnoteReference w:id="4"/>
      </w:r>
      <w:r w:rsidR="00DB7C0A" w:rsidRPr="00633BFB">
        <w:rPr>
          <w:rFonts w:ascii="Garamond" w:hAnsi="Garamond"/>
          <w:sz w:val="24"/>
          <w:szCs w:val="24"/>
        </w:rPr>
        <w:t xml:space="preserve"> </w:t>
      </w:r>
      <w:r w:rsidR="00DB7C0A">
        <w:rPr>
          <w:rFonts w:ascii="Garamond" w:hAnsi="Garamond"/>
          <w:sz w:val="24"/>
          <w:szCs w:val="24"/>
        </w:rPr>
        <w:t xml:space="preserve"> For identification, we adapt a </w:t>
      </w:r>
      <w:r w:rsidR="00633BFB">
        <w:rPr>
          <w:rFonts w:ascii="Garamond" w:hAnsi="Garamond"/>
          <w:sz w:val="24"/>
          <w:szCs w:val="24"/>
        </w:rPr>
        <w:t xml:space="preserve">methodology known in the migration literature, </w:t>
      </w:r>
      <w:r w:rsidR="00DB7C0A">
        <w:rPr>
          <w:rFonts w:ascii="Garamond" w:hAnsi="Garamond"/>
          <w:sz w:val="24"/>
          <w:szCs w:val="24"/>
        </w:rPr>
        <w:t xml:space="preserve">which has </w:t>
      </w:r>
      <w:r w:rsidR="00633BFB">
        <w:rPr>
          <w:rFonts w:ascii="Garamond" w:hAnsi="Garamond"/>
          <w:sz w:val="24"/>
          <w:szCs w:val="24"/>
        </w:rPr>
        <w:t xml:space="preserve">previously </w:t>
      </w:r>
      <w:r w:rsidR="00DB7C0A">
        <w:rPr>
          <w:rFonts w:ascii="Garamond" w:hAnsi="Garamond"/>
          <w:sz w:val="24"/>
          <w:szCs w:val="24"/>
        </w:rPr>
        <w:t xml:space="preserve">been </w:t>
      </w:r>
      <w:r w:rsidR="00633BFB">
        <w:rPr>
          <w:rFonts w:ascii="Garamond" w:hAnsi="Garamond"/>
          <w:sz w:val="24"/>
          <w:szCs w:val="24"/>
        </w:rPr>
        <w:t xml:space="preserve">used to isolate supply shocks in the United States. </w:t>
      </w:r>
    </w:p>
    <w:p w:rsidR="00B143A7" w:rsidRDefault="00B143A7" w:rsidP="00B143A7">
      <w:pPr>
        <w:spacing w:line="480" w:lineRule="auto"/>
        <w:ind w:firstLine="360"/>
        <w:rPr>
          <w:rFonts w:ascii="Garamond" w:hAnsi="Garamond"/>
          <w:sz w:val="24"/>
          <w:szCs w:val="24"/>
        </w:rPr>
      </w:pPr>
      <w:r w:rsidRPr="00633BFB">
        <w:rPr>
          <w:rFonts w:ascii="Garamond" w:hAnsi="Garamond"/>
          <w:sz w:val="24"/>
          <w:szCs w:val="24"/>
        </w:rPr>
        <w:lastRenderedPageBreak/>
        <w:t xml:space="preserve">Using Mexican census data from 1960 to 2010 we </w:t>
      </w:r>
      <w:r w:rsidR="00CE79C5">
        <w:rPr>
          <w:rFonts w:ascii="Garamond" w:hAnsi="Garamond"/>
          <w:sz w:val="24"/>
          <w:szCs w:val="24"/>
        </w:rPr>
        <w:t>document</w:t>
      </w:r>
      <w:r w:rsidR="00B235D5" w:rsidRPr="00633BFB">
        <w:rPr>
          <w:rFonts w:ascii="Garamond" w:hAnsi="Garamond"/>
          <w:sz w:val="24"/>
          <w:szCs w:val="24"/>
        </w:rPr>
        <w:t xml:space="preserve"> </w:t>
      </w:r>
      <w:r w:rsidRPr="00633BFB">
        <w:rPr>
          <w:rFonts w:ascii="Garamond" w:hAnsi="Garamond"/>
          <w:sz w:val="24"/>
          <w:szCs w:val="24"/>
        </w:rPr>
        <w:t xml:space="preserve">the </w:t>
      </w:r>
      <w:r w:rsidR="00B12196" w:rsidRPr="00633BFB">
        <w:rPr>
          <w:rFonts w:ascii="Garamond" w:hAnsi="Garamond"/>
          <w:sz w:val="24"/>
          <w:szCs w:val="24"/>
        </w:rPr>
        <w:t xml:space="preserve">dramatic decline in the sex ratios, particularly for young cohorts.  </w:t>
      </w:r>
      <w:r w:rsidR="00D0593B">
        <w:rPr>
          <w:rFonts w:ascii="Garamond" w:hAnsi="Garamond"/>
          <w:sz w:val="24"/>
          <w:szCs w:val="24"/>
        </w:rPr>
        <w:t xml:space="preserve">We show </w:t>
      </w:r>
      <w:r w:rsidR="00B12196" w:rsidRPr="00633BFB">
        <w:rPr>
          <w:rFonts w:ascii="Garamond" w:hAnsi="Garamond"/>
          <w:sz w:val="24"/>
          <w:szCs w:val="24"/>
        </w:rPr>
        <w:t xml:space="preserve">the </w:t>
      </w:r>
      <w:r w:rsidRPr="00633BFB">
        <w:rPr>
          <w:rFonts w:ascii="Garamond" w:hAnsi="Garamond"/>
          <w:sz w:val="24"/>
          <w:szCs w:val="24"/>
        </w:rPr>
        <w:t>variation in sex ratios across states and cohorts</w:t>
      </w:r>
      <w:r w:rsidR="00B12196" w:rsidRPr="00633BFB">
        <w:rPr>
          <w:rFonts w:ascii="Garamond" w:hAnsi="Garamond"/>
          <w:sz w:val="24"/>
          <w:szCs w:val="24"/>
        </w:rPr>
        <w:t xml:space="preserve"> and the extent to which</w:t>
      </w:r>
      <w:r w:rsidRPr="00633BFB">
        <w:rPr>
          <w:rFonts w:ascii="Garamond" w:hAnsi="Garamond"/>
          <w:sz w:val="24"/>
          <w:szCs w:val="24"/>
        </w:rPr>
        <w:t xml:space="preserve"> international migration </w:t>
      </w:r>
      <w:r w:rsidR="00B12196" w:rsidRPr="00633BFB">
        <w:rPr>
          <w:rFonts w:ascii="Garamond" w:hAnsi="Garamond"/>
          <w:sz w:val="24"/>
          <w:szCs w:val="24"/>
        </w:rPr>
        <w:t>explain</w:t>
      </w:r>
      <w:r w:rsidR="004611D4" w:rsidRPr="00633BFB">
        <w:rPr>
          <w:rFonts w:ascii="Garamond" w:hAnsi="Garamond"/>
          <w:sz w:val="24"/>
          <w:szCs w:val="24"/>
        </w:rPr>
        <w:t>s</w:t>
      </w:r>
      <w:r w:rsidR="00B12196" w:rsidRPr="00633BFB">
        <w:rPr>
          <w:rFonts w:ascii="Garamond" w:hAnsi="Garamond"/>
          <w:sz w:val="24"/>
          <w:szCs w:val="24"/>
        </w:rPr>
        <w:t xml:space="preserve"> this variation</w:t>
      </w:r>
      <w:r w:rsidRPr="00633BFB">
        <w:rPr>
          <w:rFonts w:ascii="Garamond" w:hAnsi="Garamond"/>
          <w:sz w:val="24"/>
          <w:szCs w:val="24"/>
        </w:rPr>
        <w:t>.  We find evidence that the percentage of households with an international migrant is negatively and significant</w:t>
      </w:r>
      <w:r w:rsidR="00B12196" w:rsidRPr="00633BFB">
        <w:rPr>
          <w:rFonts w:ascii="Garamond" w:hAnsi="Garamond"/>
          <w:sz w:val="24"/>
          <w:szCs w:val="24"/>
        </w:rPr>
        <w:t>ly related to the</w:t>
      </w:r>
      <w:r w:rsidRPr="00633BFB">
        <w:rPr>
          <w:rFonts w:ascii="Garamond" w:hAnsi="Garamond"/>
          <w:sz w:val="24"/>
          <w:szCs w:val="24"/>
        </w:rPr>
        <w:t xml:space="preserve"> sex ratio</w:t>
      </w:r>
      <w:r w:rsidR="00B12196" w:rsidRPr="00633BFB">
        <w:rPr>
          <w:rFonts w:ascii="Garamond" w:hAnsi="Garamond"/>
          <w:sz w:val="24"/>
          <w:szCs w:val="24"/>
        </w:rPr>
        <w:t xml:space="preserve"> for a given age</w:t>
      </w:r>
      <w:r w:rsidR="0080491C">
        <w:rPr>
          <w:rFonts w:ascii="Garamond" w:hAnsi="Garamond"/>
          <w:sz w:val="24"/>
          <w:szCs w:val="24"/>
        </w:rPr>
        <w:t>,</w:t>
      </w:r>
      <w:r w:rsidR="00B12196" w:rsidRPr="00633BFB">
        <w:rPr>
          <w:rFonts w:ascii="Garamond" w:hAnsi="Garamond"/>
          <w:sz w:val="24"/>
          <w:szCs w:val="24"/>
        </w:rPr>
        <w:t xml:space="preserve"> cohort and state</w:t>
      </w:r>
      <w:r w:rsidR="0080491C">
        <w:rPr>
          <w:rFonts w:ascii="Garamond" w:hAnsi="Garamond"/>
          <w:sz w:val="24"/>
          <w:szCs w:val="24"/>
        </w:rPr>
        <w:t xml:space="preserve">, indicating </w:t>
      </w:r>
      <w:r w:rsidR="00B12196" w:rsidRPr="00633BFB">
        <w:rPr>
          <w:rFonts w:ascii="Garamond" w:hAnsi="Garamond"/>
          <w:sz w:val="24"/>
          <w:szCs w:val="24"/>
        </w:rPr>
        <w:t>that</w:t>
      </w:r>
      <w:r w:rsidRPr="00633BFB">
        <w:rPr>
          <w:rFonts w:ascii="Garamond" w:hAnsi="Garamond"/>
          <w:sz w:val="24"/>
          <w:szCs w:val="24"/>
        </w:rPr>
        <w:t xml:space="preserve"> changes in the sex ratio are related to large-scale migration of Mexican men.</w:t>
      </w:r>
      <w:r>
        <w:rPr>
          <w:rFonts w:ascii="Garamond" w:hAnsi="Garamond"/>
          <w:sz w:val="24"/>
          <w:szCs w:val="24"/>
        </w:rPr>
        <w:t xml:space="preserve"> </w:t>
      </w:r>
    </w:p>
    <w:p w:rsidR="00B12196" w:rsidRDefault="004115B8" w:rsidP="004115B8">
      <w:pPr>
        <w:spacing w:line="480" w:lineRule="auto"/>
        <w:ind w:firstLine="360"/>
        <w:rPr>
          <w:rFonts w:ascii="Garamond" w:hAnsi="Garamond"/>
          <w:sz w:val="24"/>
          <w:szCs w:val="24"/>
        </w:rPr>
      </w:pPr>
      <w:r w:rsidRPr="005A283B">
        <w:rPr>
          <w:rFonts w:ascii="Garamond" w:hAnsi="Garamond"/>
          <w:sz w:val="24"/>
          <w:szCs w:val="24"/>
        </w:rPr>
        <w:t xml:space="preserve">  </w:t>
      </w:r>
      <w:r w:rsidR="00B143A7" w:rsidRPr="00633BFB">
        <w:rPr>
          <w:rFonts w:ascii="Garamond" w:hAnsi="Garamond"/>
          <w:sz w:val="24"/>
          <w:szCs w:val="24"/>
        </w:rPr>
        <w:t>We</w:t>
      </w:r>
      <w:r w:rsidR="00475FFF" w:rsidRPr="00633BFB">
        <w:rPr>
          <w:rFonts w:ascii="Garamond" w:hAnsi="Garamond"/>
          <w:sz w:val="24"/>
          <w:szCs w:val="24"/>
        </w:rPr>
        <w:t xml:space="preserve"> </w:t>
      </w:r>
      <w:r w:rsidR="00B143A7" w:rsidRPr="00633BFB">
        <w:rPr>
          <w:rFonts w:ascii="Garamond" w:hAnsi="Garamond"/>
          <w:sz w:val="24"/>
          <w:szCs w:val="24"/>
        </w:rPr>
        <w:t>estimate</w:t>
      </w:r>
      <w:r w:rsidR="00B143A7" w:rsidRPr="00633BFB">
        <w:rPr>
          <w:rFonts w:ascii="Garamond" w:hAnsi="Garamond" w:cs="CMR17"/>
          <w:sz w:val="24"/>
          <w:szCs w:val="24"/>
        </w:rPr>
        <w:t xml:space="preserve"> the effects </w:t>
      </w:r>
      <w:r w:rsidR="00B143A7" w:rsidRPr="00633BFB">
        <w:rPr>
          <w:rFonts w:ascii="Garamond" w:hAnsi="Garamond"/>
          <w:sz w:val="24"/>
          <w:szCs w:val="24"/>
        </w:rPr>
        <w:t xml:space="preserve">of </w:t>
      </w:r>
      <w:r w:rsidR="00B12196" w:rsidRPr="00633BFB">
        <w:rPr>
          <w:rFonts w:ascii="Garamond" w:hAnsi="Garamond"/>
          <w:sz w:val="24"/>
          <w:szCs w:val="24"/>
        </w:rPr>
        <w:t>the</w:t>
      </w:r>
      <w:r w:rsidR="00F63112" w:rsidRPr="00633BFB">
        <w:rPr>
          <w:rFonts w:ascii="Garamond" w:hAnsi="Garamond"/>
          <w:sz w:val="24"/>
          <w:szCs w:val="24"/>
        </w:rPr>
        <w:t xml:space="preserve"> </w:t>
      </w:r>
      <w:r w:rsidR="00B143A7" w:rsidRPr="00633BFB">
        <w:rPr>
          <w:rFonts w:ascii="Garamond" w:hAnsi="Garamond"/>
          <w:sz w:val="24"/>
          <w:szCs w:val="24"/>
        </w:rPr>
        <w:t>decline in</w:t>
      </w:r>
      <w:r w:rsidR="00B12196" w:rsidRPr="00633BFB">
        <w:rPr>
          <w:rFonts w:ascii="Garamond" w:hAnsi="Garamond"/>
          <w:sz w:val="24"/>
          <w:szCs w:val="24"/>
        </w:rPr>
        <w:t xml:space="preserve"> the</w:t>
      </w:r>
      <w:r w:rsidR="00B143A7" w:rsidRPr="00633BFB">
        <w:rPr>
          <w:rFonts w:ascii="Garamond" w:hAnsi="Garamond"/>
          <w:sz w:val="24"/>
          <w:szCs w:val="24"/>
        </w:rPr>
        <w:t xml:space="preserve"> sex ratio on female labor market outcomes.  </w:t>
      </w:r>
      <w:r w:rsidR="00B12196" w:rsidRPr="00633BFB">
        <w:rPr>
          <w:rFonts w:ascii="Garamond" w:hAnsi="Garamond"/>
          <w:sz w:val="24"/>
          <w:szCs w:val="24"/>
        </w:rPr>
        <w:t>In particular, we explore whether women were able to break into higher skilled</w:t>
      </w:r>
      <w:r w:rsidR="004611D4" w:rsidRPr="00633BFB">
        <w:rPr>
          <w:rFonts w:ascii="Garamond" w:hAnsi="Garamond"/>
          <w:sz w:val="24"/>
          <w:szCs w:val="24"/>
        </w:rPr>
        <w:t>,</w:t>
      </w:r>
      <w:r w:rsidR="00B12196" w:rsidRPr="00633BFB">
        <w:rPr>
          <w:rFonts w:ascii="Garamond" w:hAnsi="Garamond"/>
          <w:sz w:val="24"/>
          <w:szCs w:val="24"/>
        </w:rPr>
        <w:t xml:space="preserve"> </w:t>
      </w:r>
      <w:r w:rsidR="004611D4" w:rsidRPr="00633BFB">
        <w:rPr>
          <w:rFonts w:ascii="Garamond" w:hAnsi="Garamond"/>
          <w:sz w:val="24"/>
          <w:szCs w:val="24"/>
        </w:rPr>
        <w:t xml:space="preserve">traditionally male dominated </w:t>
      </w:r>
      <w:r w:rsidR="00B12196" w:rsidRPr="00633BFB">
        <w:rPr>
          <w:rFonts w:ascii="Garamond" w:hAnsi="Garamond"/>
          <w:sz w:val="24"/>
          <w:szCs w:val="24"/>
        </w:rPr>
        <w:t xml:space="preserve">occupations as fewer men are </w:t>
      </w:r>
      <w:r w:rsidR="004611D4" w:rsidRPr="00633BFB">
        <w:rPr>
          <w:rFonts w:ascii="Garamond" w:hAnsi="Garamond"/>
          <w:sz w:val="24"/>
          <w:szCs w:val="24"/>
        </w:rPr>
        <w:t xml:space="preserve">available for </w:t>
      </w:r>
      <w:r w:rsidR="00B12196" w:rsidRPr="00633BFB">
        <w:rPr>
          <w:rFonts w:ascii="Garamond" w:hAnsi="Garamond"/>
          <w:sz w:val="24"/>
          <w:szCs w:val="24"/>
        </w:rPr>
        <w:t>these jobs.  To identify these</w:t>
      </w:r>
      <w:r w:rsidR="00722016" w:rsidRPr="00633BFB">
        <w:rPr>
          <w:rFonts w:ascii="Garamond" w:hAnsi="Garamond"/>
          <w:sz w:val="24"/>
          <w:szCs w:val="24"/>
        </w:rPr>
        <w:t xml:space="preserve"> effects</w:t>
      </w:r>
      <w:r w:rsidR="00B143A7" w:rsidRPr="00633BFB">
        <w:rPr>
          <w:rFonts w:ascii="Garamond" w:hAnsi="Garamond"/>
          <w:sz w:val="24"/>
          <w:szCs w:val="24"/>
        </w:rPr>
        <w:t xml:space="preserve"> we use variation in migration rates across states, cohorts and over time. </w:t>
      </w:r>
      <w:r w:rsidR="00722016" w:rsidRPr="00633BFB">
        <w:rPr>
          <w:rFonts w:ascii="Garamond" w:hAnsi="Garamond"/>
          <w:sz w:val="24"/>
          <w:szCs w:val="24"/>
        </w:rPr>
        <w:t xml:space="preserve"> We also control </w:t>
      </w:r>
      <w:r w:rsidR="00B143A7" w:rsidRPr="00633BFB">
        <w:rPr>
          <w:rFonts w:ascii="Garamond" w:hAnsi="Garamond"/>
          <w:sz w:val="24"/>
          <w:szCs w:val="24"/>
        </w:rPr>
        <w:t>for the potenti</w:t>
      </w:r>
      <w:r w:rsidR="00722016" w:rsidRPr="00633BFB">
        <w:rPr>
          <w:rFonts w:ascii="Garamond" w:hAnsi="Garamond"/>
          <w:sz w:val="24"/>
          <w:szCs w:val="24"/>
        </w:rPr>
        <w:t xml:space="preserve">al endogeneity of the sex ratio by </w:t>
      </w:r>
      <w:r w:rsidR="00B12196" w:rsidRPr="00633BFB">
        <w:rPr>
          <w:rFonts w:ascii="Garamond" w:hAnsi="Garamond"/>
          <w:sz w:val="24"/>
          <w:szCs w:val="24"/>
        </w:rPr>
        <w:t xml:space="preserve">using </w:t>
      </w:r>
      <w:r w:rsidR="00B143A7" w:rsidRPr="00633BFB">
        <w:rPr>
          <w:rFonts w:ascii="Garamond" w:hAnsi="Garamond"/>
          <w:sz w:val="24"/>
          <w:szCs w:val="24"/>
        </w:rPr>
        <w:t>a Card (20</w:t>
      </w:r>
      <w:r w:rsidR="00B12196" w:rsidRPr="00633BFB">
        <w:rPr>
          <w:rFonts w:ascii="Garamond" w:hAnsi="Garamond"/>
          <w:sz w:val="24"/>
          <w:szCs w:val="24"/>
        </w:rPr>
        <w:t xml:space="preserve">01) style demand pull </w:t>
      </w:r>
      <w:r w:rsidR="00D0593B">
        <w:rPr>
          <w:rFonts w:ascii="Garamond" w:hAnsi="Garamond"/>
          <w:sz w:val="24"/>
          <w:szCs w:val="24"/>
        </w:rPr>
        <w:t>instrument</w:t>
      </w:r>
      <w:r w:rsidR="00B12196" w:rsidRPr="00633BFB">
        <w:rPr>
          <w:rFonts w:ascii="Garamond" w:hAnsi="Garamond"/>
          <w:sz w:val="24"/>
          <w:szCs w:val="24"/>
        </w:rPr>
        <w:t xml:space="preserve">.  </w:t>
      </w:r>
      <w:r w:rsidR="00D0593B">
        <w:rPr>
          <w:rFonts w:ascii="Garamond" w:hAnsi="Garamond"/>
          <w:sz w:val="24"/>
          <w:szCs w:val="24"/>
        </w:rPr>
        <w:t>This</w:t>
      </w:r>
      <w:r w:rsidR="00D0593B" w:rsidRPr="00633BFB">
        <w:rPr>
          <w:rFonts w:ascii="Garamond" w:hAnsi="Garamond"/>
          <w:sz w:val="24"/>
          <w:szCs w:val="24"/>
        </w:rPr>
        <w:t xml:space="preserve"> </w:t>
      </w:r>
      <w:r w:rsidR="00B12196" w:rsidRPr="00633BFB">
        <w:rPr>
          <w:rFonts w:ascii="Garamond" w:hAnsi="Garamond"/>
          <w:sz w:val="24"/>
          <w:szCs w:val="24"/>
        </w:rPr>
        <w:t xml:space="preserve">instrument, which uses predicted migration based on U.S. demand for labor, exploits the fact that the vast majority of </w:t>
      </w:r>
      <w:r w:rsidR="00633BFB">
        <w:rPr>
          <w:rFonts w:ascii="Garamond" w:hAnsi="Garamond"/>
          <w:sz w:val="24"/>
          <w:szCs w:val="24"/>
        </w:rPr>
        <w:t xml:space="preserve">Mexican migrants who go abroad </w:t>
      </w:r>
      <w:r w:rsidR="00B12196" w:rsidRPr="00633BFB">
        <w:rPr>
          <w:rFonts w:ascii="Garamond" w:hAnsi="Garamond"/>
          <w:sz w:val="24"/>
          <w:szCs w:val="24"/>
        </w:rPr>
        <w:t>go to the U.S.</w:t>
      </w:r>
      <w:r w:rsidR="00633BFB">
        <w:rPr>
          <w:rFonts w:ascii="Garamond" w:hAnsi="Garamond"/>
          <w:sz w:val="24"/>
          <w:szCs w:val="24"/>
        </w:rPr>
        <w:t>,</w:t>
      </w:r>
      <w:r w:rsidR="00B12196" w:rsidRPr="00633BFB">
        <w:rPr>
          <w:rFonts w:ascii="Garamond" w:hAnsi="Garamond"/>
          <w:sz w:val="24"/>
          <w:szCs w:val="24"/>
        </w:rPr>
        <w:t xml:space="preserve"> and the specific destinations of these migrants are </w:t>
      </w:r>
      <w:r w:rsidR="00DB3579">
        <w:rPr>
          <w:rFonts w:ascii="Garamond" w:hAnsi="Garamond"/>
          <w:sz w:val="24"/>
          <w:szCs w:val="24"/>
        </w:rPr>
        <w:t xml:space="preserve">largely </w:t>
      </w:r>
      <w:r w:rsidR="00B12196" w:rsidRPr="00633BFB">
        <w:rPr>
          <w:rFonts w:ascii="Garamond" w:hAnsi="Garamond"/>
          <w:sz w:val="24"/>
          <w:szCs w:val="24"/>
        </w:rPr>
        <w:t>driven by historic patterns</w:t>
      </w:r>
      <w:r w:rsidR="00C9772E">
        <w:rPr>
          <w:rFonts w:ascii="Garamond" w:hAnsi="Garamond"/>
          <w:sz w:val="24"/>
          <w:szCs w:val="24"/>
        </w:rPr>
        <w:t xml:space="preserve"> (Durand et al. 2001)</w:t>
      </w:r>
      <w:r w:rsidR="00B12196" w:rsidRPr="00633BFB">
        <w:rPr>
          <w:rFonts w:ascii="Garamond" w:hAnsi="Garamond"/>
          <w:sz w:val="24"/>
          <w:szCs w:val="24"/>
        </w:rPr>
        <w:t xml:space="preserve">.  Using three different </w:t>
      </w:r>
      <w:r w:rsidR="00D0593B">
        <w:rPr>
          <w:rFonts w:ascii="Garamond" w:hAnsi="Garamond"/>
          <w:sz w:val="24"/>
          <w:szCs w:val="24"/>
        </w:rPr>
        <w:t xml:space="preserve">migration </w:t>
      </w:r>
      <w:r w:rsidR="00B12196" w:rsidRPr="00633BFB">
        <w:rPr>
          <w:rFonts w:ascii="Garamond" w:hAnsi="Garamond"/>
          <w:sz w:val="24"/>
          <w:szCs w:val="24"/>
        </w:rPr>
        <w:t>data sources on the sending states in Mexico and the receiving states in the U.S.</w:t>
      </w:r>
      <w:r w:rsidR="00546E2B">
        <w:rPr>
          <w:rFonts w:ascii="Garamond" w:hAnsi="Garamond"/>
          <w:sz w:val="24"/>
          <w:szCs w:val="24"/>
        </w:rPr>
        <w:t xml:space="preserve">, </w:t>
      </w:r>
      <w:r w:rsidR="00B12196" w:rsidRPr="00633BFB">
        <w:rPr>
          <w:rFonts w:ascii="Garamond" w:hAnsi="Garamond"/>
          <w:sz w:val="24"/>
          <w:szCs w:val="24"/>
        </w:rPr>
        <w:t>we document this persistence, and show that U.S. demand is a good predictor of sex ratios.</w:t>
      </w:r>
      <w:r w:rsidR="008C27EC">
        <w:rPr>
          <w:rFonts w:ascii="Garamond" w:hAnsi="Garamond"/>
          <w:sz w:val="24"/>
          <w:szCs w:val="24"/>
        </w:rPr>
        <w:t xml:space="preserve">  </w:t>
      </w:r>
      <w:r w:rsidR="006F3649">
        <w:rPr>
          <w:rFonts w:ascii="Garamond" w:hAnsi="Garamond"/>
          <w:sz w:val="24"/>
          <w:szCs w:val="24"/>
        </w:rPr>
        <w:t>We</w:t>
      </w:r>
      <w:r w:rsidR="008C27EC">
        <w:rPr>
          <w:rFonts w:ascii="Garamond" w:hAnsi="Garamond"/>
          <w:sz w:val="24"/>
          <w:szCs w:val="24"/>
        </w:rPr>
        <w:t xml:space="preserve"> provide numerous tests of the instrument, showing the relationship is not driven by particular sending or receiving states</w:t>
      </w:r>
      <w:r w:rsidR="003121EB">
        <w:rPr>
          <w:rFonts w:ascii="Garamond" w:hAnsi="Garamond"/>
          <w:sz w:val="24"/>
          <w:szCs w:val="24"/>
        </w:rPr>
        <w:t xml:space="preserve"> or by covariate industry shocks</w:t>
      </w:r>
      <w:r w:rsidR="006F3649">
        <w:rPr>
          <w:rFonts w:ascii="Garamond" w:hAnsi="Garamond"/>
          <w:sz w:val="24"/>
          <w:szCs w:val="24"/>
        </w:rPr>
        <w:t>, and is only based on U.S. locations where potential networks exist</w:t>
      </w:r>
      <w:r w:rsidR="008C27EC">
        <w:rPr>
          <w:rFonts w:ascii="Garamond" w:hAnsi="Garamond"/>
          <w:sz w:val="24"/>
          <w:szCs w:val="24"/>
        </w:rPr>
        <w:t xml:space="preserve">. </w:t>
      </w:r>
      <w:r w:rsidR="00B12196">
        <w:rPr>
          <w:rFonts w:ascii="Garamond" w:hAnsi="Garamond"/>
          <w:sz w:val="24"/>
          <w:szCs w:val="24"/>
        </w:rPr>
        <w:t xml:space="preserve"> </w:t>
      </w:r>
      <w:r w:rsidR="00B143A7">
        <w:rPr>
          <w:rFonts w:ascii="Garamond" w:hAnsi="Garamond"/>
          <w:sz w:val="24"/>
          <w:szCs w:val="24"/>
        </w:rPr>
        <w:t xml:space="preserve">  </w:t>
      </w:r>
    </w:p>
    <w:p w:rsidR="004115B8" w:rsidRDefault="00633BFB" w:rsidP="009B3FAF">
      <w:pPr>
        <w:spacing w:line="480" w:lineRule="auto"/>
        <w:ind w:firstLine="360"/>
        <w:rPr>
          <w:rFonts w:ascii="Garamond" w:hAnsi="Garamond"/>
          <w:sz w:val="24"/>
          <w:szCs w:val="24"/>
        </w:rPr>
      </w:pPr>
      <w:r>
        <w:rPr>
          <w:rFonts w:ascii="Garamond" w:hAnsi="Garamond"/>
          <w:sz w:val="24"/>
          <w:szCs w:val="24"/>
        </w:rPr>
        <w:t>W</w:t>
      </w:r>
      <w:r w:rsidR="009B3FAF">
        <w:rPr>
          <w:rFonts w:ascii="Garamond" w:hAnsi="Garamond"/>
          <w:sz w:val="24"/>
          <w:szCs w:val="24"/>
        </w:rPr>
        <w:t>e find</w:t>
      </w:r>
      <w:r w:rsidR="004115B8" w:rsidRPr="005A283B">
        <w:rPr>
          <w:rFonts w:ascii="Garamond" w:hAnsi="Garamond"/>
          <w:sz w:val="24"/>
          <w:szCs w:val="24"/>
        </w:rPr>
        <w:t xml:space="preserve"> </w:t>
      </w:r>
      <w:r w:rsidR="009B3FAF">
        <w:rPr>
          <w:rFonts w:ascii="Garamond" w:hAnsi="Garamond"/>
          <w:sz w:val="24"/>
          <w:szCs w:val="24"/>
        </w:rPr>
        <w:t>that declines in the relative number of men have significant impacts on the labor force outcomes of women.  The declines in the sex ratio lead to large increases in women’s labor force participation</w:t>
      </w:r>
      <w:r>
        <w:rPr>
          <w:rFonts w:ascii="Garamond" w:hAnsi="Garamond"/>
          <w:sz w:val="24"/>
          <w:szCs w:val="24"/>
        </w:rPr>
        <w:t xml:space="preserve"> </w:t>
      </w:r>
      <w:r w:rsidR="006F3649">
        <w:rPr>
          <w:rFonts w:ascii="Garamond" w:hAnsi="Garamond"/>
          <w:sz w:val="24"/>
          <w:szCs w:val="24"/>
        </w:rPr>
        <w:t>(between 3</w:t>
      </w:r>
      <w:r w:rsidR="00C9772E">
        <w:rPr>
          <w:rFonts w:ascii="Garamond" w:hAnsi="Garamond"/>
          <w:sz w:val="24"/>
          <w:szCs w:val="24"/>
        </w:rPr>
        <w:t xml:space="preserve"> and </w:t>
      </w:r>
      <w:r w:rsidR="006F3649">
        <w:rPr>
          <w:rFonts w:ascii="Garamond" w:hAnsi="Garamond"/>
          <w:sz w:val="24"/>
          <w:szCs w:val="24"/>
        </w:rPr>
        <w:t>6%)</w:t>
      </w:r>
      <w:r w:rsidR="009B3FAF">
        <w:rPr>
          <w:rFonts w:ascii="Garamond" w:hAnsi="Garamond"/>
          <w:sz w:val="24"/>
          <w:szCs w:val="24"/>
        </w:rPr>
        <w:t xml:space="preserve">, as well as the </w:t>
      </w:r>
      <w:r w:rsidR="009B3FAF" w:rsidRPr="00633BFB">
        <w:rPr>
          <w:rFonts w:ascii="Garamond" w:hAnsi="Garamond"/>
          <w:sz w:val="24"/>
          <w:szCs w:val="24"/>
        </w:rPr>
        <w:t xml:space="preserve">percentage of women in white collar jobs </w:t>
      </w:r>
      <w:r w:rsidRPr="00633BFB">
        <w:rPr>
          <w:rFonts w:ascii="Garamond" w:hAnsi="Garamond"/>
          <w:sz w:val="24"/>
          <w:szCs w:val="24"/>
        </w:rPr>
        <w:t>(</w:t>
      </w:r>
      <w:r w:rsidR="006F3649">
        <w:rPr>
          <w:rFonts w:ascii="Garamond" w:hAnsi="Garamond"/>
          <w:sz w:val="24"/>
          <w:szCs w:val="24"/>
        </w:rPr>
        <w:t>between 3 and 6%</w:t>
      </w:r>
      <w:r w:rsidR="003121EB">
        <w:rPr>
          <w:rFonts w:ascii="Garamond" w:hAnsi="Garamond"/>
          <w:sz w:val="24"/>
          <w:szCs w:val="24"/>
        </w:rPr>
        <w:t>),</w:t>
      </w:r>
      <w:r w:rsidR="009B3FAF" w:rsidRPr="00633BFB">
        <w:rPr>
          <w:rFonts w:ascii="Garamond" w:hAnsi="Garamond"/>
          <w:sz w:val="24"/>
          <w:szCs w:val="24"/>
        </w:rPr>
        <w:t xml:space="preserve"> in brain-intensive </w:t>
      </w:r>
      <w:r w:rsidRPr="00633BFB">
        <w:rPr>
          <w:rFonts w:ascii="Garamond" w:hAnsi="Garamond"/>
          <w:sz w:val="24"/>
          <w:szCs w:val="24"/>
        </w:rPr>
        <w:t>(</w:t>
      </w:r>
      <w:r w:rsidR="006F3649">
        <w:rPr>
          <w:rFonts w:ascii="Garamond" w:hAnsi="Garamond"/>
          <w:sz w:val="24"/>
          <w:szCs w:val="24"/>
        </w:rPr>
        <w:t>between 3 and 6%</w:t>
      </w:r>
      <w:r w:rsidRPr="00633BFB">
        <w:rPr>
          <w:rFonts w:ascii="Garamond" w:hAnsi="Garamond"/>
          <w:sz w:val="24"/>
          <w:szCs w:val="24"/>
        </w:rPr>
        <w:t xml:space="preserve">) </w:t>
      </w:r>
      <w:r w:rsidR="009B3FAF" w:rsidRPr="00633BFB">
        <w:rPr>
          <w:rFonts w:ascii="Garamond" w:hAnsi="Garamond"/>
          <w:sz w:val="24"/>
          <w:szCs w:val="24"/>
        </w:rPr>
        <w:t>as opposed to brawn-intensive</w:t>
      </w:r>
      <w:r w:rsidR="00BA7B43" w:rsidRPr="00633BFB">
        <w:rPr>
          <w:rFonts w:ascii="Garamond" w:hAnsi="Garamond"/>
          <w:sz w:val="24"/>
          <w:szCs w:val="24"/>
        </w:rPr>
        <w:t xml:space="preserve"> jobs</w:t>
      </w:r>
      <w:r w:rsidR="003121EB">
        <w:rPr>
          <w:rFonts w:ascii="Garamond" w:hAnsi="Garamond"/>
          <w:sz w:val="24"/>
          <w:szCs w:val="24"/>
        </w:rPr>
        <w:t xml:space="preserve"> and in </w:t>
      </w:r>
      <w:r w:rsidR="003121EB">
        <w:rPr>
          <w:rFonts w:ascii="Garamond" w:hAnsi="Garamond"/>
          <w:sz w:val="24"/>
          <w:szCs w:val="24"/>
        </w:rPr>
        <w:lastRenderedPageBreak/>
        <w:t>occupations previously dominated by men (</w:t>
      </w:r>
      <w:r w:rsidR="002A7CE8">
        <w:rPr>
          <w:rFonts w:ascii="Garamond" w:hAnsi="Garamond"/>
          <w:sz w:val="24"/>
          <w:szCs w:val="24"/>
        </w:rPr>
        <w:t>around 2%</w:t>
      </w:r>
      <w:r w:rsidR="003121EB">
        <w:rPr>
          <w:rFonts w:ascii="Garamond" w:hAnsi="Garamond"/>
          <w:sz w:val="24"/>
          <w:szCs w:val="24"/>
        </w:rPr>
        <w:t>).</w:t>
      </w:r>
      <w:r w:rsidR="009B3FAF">
        <w:rPr>
          <w:rFonts w:ascii="Garamond" w:hAnsi="Garamond"/>
          <w:sz w:val="24"/>
          <w:szCs w:val="24"/>
        </w:rPr>
        <w:t xml:space="preserve">  </w:t>
      </w:r>
      <w:r w:rsidR="004115B8">
        <w:rPr>
          <w:rFonts w:ascii="Garamond" w:hAnsi="Garamond"/>
          <w:sz w:val="24"/>
          <w:szCs w:val="24"/>
        </w:rPr>
        <w:t>We also find</w:t>
      </w:r>
      <w:r w:rsidR="002A7CE8">
        <w:rPr>
          <w:rFonts w:ascii="Garamond" w:hAnsi="Garamond"/>
          <w:sz w:val="24"/>
          <w:szCs w:val="24"/>
        </w:rPr>
        <w:t xml:space="preserve"> that the female share in top twenty-five</w:t>
      </w:r>
      <w:r w:rsidR="004115B8">
        <w:rPr>
          <w:rFonts w:ascii="Garamond" w:hAnsi="Garamond"/>
          <w:sz w:val="24"/>
          <w:szCs w:val="24"/>
        </w:rPr>
        <w:t xml:space="preserve"> percent of earners increased</w:t>
      </w:r>
      <w:r w:rsidR="009B3FAF">
        <w:rPr>
          <w:rFonts w:ascii="Garamond" w:hAnsi="Garamond"/>
          <w:sz w:val="24"/>
          <w:szCs w:val="24"/>
        </w:rPr>
        <w:t>, providing further evidence that women move into higher skilled occupations in the absence of men</w:t>
      </w:r>
      <w:r w:rsidR="004115B8">
        <w:rPr>
          <w:rFonts w:ascii="Garamond" w:hAnsi="Garamond"/>
          <w:sz w:val="24"/>
          <w:szCs w:val="24"/>
        </w:rPr>
        <w:t xml:space="preserve">. Our results are robust to different measures for migration shocks driven by U.S. demand. </w:t>
      </w:r>
    </w:p>
    <w:p w:rsidR="006E0256" w:rsidRPr="005A283B" w:rsidRDefault="004115B8" w:rsidP="004115B8">
      <w:pPr>
        <w:spacing w:line="480" w:lineRule="auto"/>
        <w:ind w:firstLine="720"/>
        <w:rPr>
          <w:rFonts w:ascii="Garamond" w:hAnsi="Garamond"/>
          <w:sz w:val="24"/>
          <w:szCs w:val="24"/>
        </w:rPr>
      </w:pPr>
      <w:r>
        <w:rPr>
          <w:rFonts w:ascii="Garamond" w:hAnsi="Garamond"/>
          <w:sz w:val="24"/>
          <w:szCs w:val="24"/>
        </w:rPr>
        <w:t xml:space="preserve">The rest of the paper is structured as follows: in the next section we discuss related literature; in Section </w:t>
      </w:r>
      <w:r w:rsidR="00096EBC">
        <w:rPr>
          <w:rFonts w:ascii="Garamond" w:hAnsi="Garamond"/>
          <w:sz w:val="24"/>
          <w:szCs w:val="24"/>
        </w:rPr>
        <w:t>2</w:t>
      </w:r>
      <w:r>
        <w:rPr>
          <w:rFonts w:ascii="Garamond" w:hAnsi="Garamond"/>
          <w:sz w:val="24"/>
          <w:szCs w:val="24"/>
        </w:rPr>
        <w:t xml:space="preserve"> we present a framework for sex ratios and migration; Section </w:t>
      </w:r>
      <w:r w:rsidR="00096EBC">
        <w:rPr>
          <w:rFonts w:ascii="Garamond" w:hAnsi="Garamond"/>
          <w:sz w:val="24"/>
          <w:szCs w:val="24"/>
        </w:rPr>
        <w:t>3</w:t>
      </w:r>
      <w:r w:rsidR="00BA7B43">
        <w:rPr>
          <w:rFonts w:ascii="Garamond" w:hAnsi="Garamond"/>
          <w:sz w:val="24"/>
          <w:szCs w:val="24"/>
        </w:rPr>
        <w:t xml:space="preserve"> </w:t>
      </w:r>
      <w:r>
        <w:rPr>
          <w:rFonts w:ascii="Garamond" w:hAnsi="Garamond"/>
          <w:sz w:val="24"/>
          <w:szCs w:val="24"/>
        </w:rPr>
        <w:t xml:space="preserve">describes the main data source and shows descriptive statistics; Section </w:t>
      </w:r>
      <w:r w:rsidR="00096EBC">
        <w:rPr>
          <w:rFonts w:ascii="Garamond" w:hAnsi="Garamond"/>
          <w:sz w:val="24"/>
          <w:szCs w:val="24"/>
        </w:rPr>
        <w:t>4</w:t>
      </w:r>
      <w:r w:rsidR="00BA7B43">
        <w:rPr>
          <w:rFonts w:ascii="Garamond" w:hAnsi="Garamond"/>
          <w:sz w:val="24"/>
          <w:szCs w:val="24"/>
        </w:rPr>
        <w:t xml:space="preserve"> </w:t>
      </w:r>
      <w:r>
        <w:rPr>
          <w:rFonts w:ascii="Garamond" w:hAnsi="Garamond"/>
          <w:sz w:val="24"/>
          <w:szCs w:val="24"/>
        </w:rPr>
        <w:t>discusses</w:t>
      </w:r>
      <w:r w:rsidR="00096EBC">
        <w:rPr>
          <w:rFonts w:ascii="Garamond" w:hAnsi="Garamond"/>
          <w:sz w:val="24"/>
          <w:szCs w:val="24"/>
        </w:rPr>
        <w:t xml:space="preserve"> our</w:t>
      </w:r>
      <w:r>
        <w:rPr>
          <w:rFonts w:ascii="Garamond" w:hAnsi="Garamond"/>
          <w:sz w:val="24"/>
          <w:szCs w:val="24"/>
        </w:rPr>
        <w:t xml:space="preserve"> empirical strategy with the OLS and IV regressions; Section </w:t>
      </w:r>
      <w:r w:rsidR="00096EBC">
        <w:rPr>
          <w:rFonts w:ascii="Garamond" w:hAnsi="Garamond"/>
          <w:sz w:val="24"/>
          <w:szCs w:val="24"/>
        </w:rPr>
        <w:t>5</w:t>
      </w:r>
      <w:r>
        <w:rPr>
          <w:rFonts w:ascii="Garamond" w:hAnsi="Garamond"/>
          <w:sz w:val="24"/>
          <w:szCs w:val="24"/>
        </w:rPr>
        <w:t xml:space="preserve"> presents the results</w:t>
      </w:r>
      <w:r w:rsidR="006F3649">
        <w:rPr>
          <w:rFonts w:ascii="Garamond" w:hAnsi="Garamond"/>
          <w:sz w:val="24"/>
          <w:szCs w:val="24"/>
        </w:rPr>
        <w:t xml:space="preserve"> and tests of the instrument</w:t>
      </w:r>
      <w:r>
        <w:rPr>
          <w:rFonts w:ascii="Garamond" w:hAnsi="Garamond"/>
          <w:sz w:val="24"/>
          <w:szCs w:val="24"/>
        </w:rPr>
        <w:t xml:space="preserve">; Section </w:t>
      </w:r>
      <w:r w:rsidR="00096EBC">
        <w:rPr>
          <w:rFonts w:ascii="Garamond" w:hAnsi="Garamond"/>
          <w:sz w:val="24"/>
          <w:szCs w:val="24"/>
        </w:rPr>
        <w:t>6</w:t>
      </w:r>
      <w:r>
        <w:rPr>
          <w:rFonts w:ascii="Garamond" w:hAnsi="Garamond"/>
          <w:sz w:val="24"/>
          <w:szCs w:val="24"/>
        </w:rPr>
        <w:t xml:space="preserve"> explores two channels</w:t>
      </w:r>
      <w:r w:rsidR="00096EBC">
        <w:rPr>
          <w:rFonts w:ascii="Garamond" w:hAnsi="Garamond"/>
          <w:sz w:val="24"/>
          <w:szCs w:val="24"/>
        </w:rPr>
        <w:t xml:space="preserve"> through which changing sex ratios may impact women’s labor market outcomes:</w:t>
      </w:r>
      <w:r>
        <w:rPr>
          <w:rFonts w:ascii="Garamond" w:hAnsi="Garamond"/>
          <w:sz w:val="24"/>
          <w:szCs w:val="24"/>
        </w:rPr>
        <w:t xml:space="preserve"> the marriage market and human capital accumulation; and Section</w:t>
      </w:r>
      <w:r w:rsidR="00096EBC">
        <w:rPr>
          <w:rFonts w:ascii="Garamond" w:hAnsi="Garamond"/>
          <w:sz w:val="24"/>
          <w:szCs w:val="24"/>
        </w:rPr>
        <w:t xml:space="preserve"> </w:t>
      </w:r>
      <w:r w:rsidR="004D018E">
        <w:rPr>
          <w:rFonts w:ascii="Garamond" w:hAnsi="Garamond"/>
          <w:sz w:val="24"/>
          <w:szCs w:val="24"/>
        </w:rPr>
        <w:t>7</w:t>
      </w:r>
      <w:r>
        <w:rPr>
          <w:rFonts w:ascii="Garamond" w:hAnsi="Garamond"/>
          <w:sz w:val="24"/>
          <w:szCs w:val="24"/>
        </w:rPr>
        <w:t xml:space="preserve"> concludes.   </w:t>
      </w:r>
    </w:p>
    <w:p w:rsidR="005A283B" w:rsidRPr="004115B8" w:rsidRDefault="00BD32D9" w:rsidP="0070680C">
      <w:pPr>
        <w:numPr>
          <w:ilvl w:val="0"/>
          <w:numId w:val="1"/>
        </w:numPr>
        <w:spacing w:after="0" w:line="480" w:lineRule="auto"/>
        <w:rPr>
          <w:rFonts w:ascii="Garamond" w:hAnsi="Garamond"/>
          <w:b/>
          <w:sz w:val="24"/>
          <w:szCs w:val="24"/>
        </w:rPr>
      </w:pPr>
      <w:r w:rsidRPr="004115B8">
        <w:rPr>
          <w:rFonts w:ascii="Garamond" w:hAnsi="Garamond"/>
          <w:b/>
          <w:sz w:val="24"/>
          <w:szCs w:val="24"/>
        </w:rPr>
        <w:t>Literature Review</w:t>
      </w:r>
    </w:p>
    <w:p w:rsidR="00CF31CF" w:rsidRDefault="00574C57" w:rsidP="00CF31CF">
      <w:pPr>
        <w:spacing w:line="480" w:lineRule="auto"/>
        <w:jc w:val="both"/>
        <w:rPr>
          <w:rFonts w:ascii="Garamond" w:hAnsi="Garamond"/>
          <w:sz w:val="24"/>
          <w:szCs w:val="24"/>
        </w:rPr>
      </w:pPr>
      <w:r w:rsidRPr="009E1EBE">
        <w:rPr>
          <w:rFonts w:ascii="Garamond" w:hAnsi="Garamond"/>
          <w:sz w:val="24"/>
          <w:szCs w:val="24"/>
        </w:rPr>
        <w:t xml:space="preserve">Female labor market outcomes have received considerable attention in the developed and developing country literature. In particular, increases of female labor force participation and incomes earned outside the home may have a beneficial effect on the </w:t>
      </w:r>
      <w:r w:rsidR="007D14E7" w:rsidRPr="009E1EBE">
        <w:rPr>
          <w:rFonts w:ascii="Garamond" w:hAnsi="Garamond"/>
          <w:sz w:val="24"/>
          <w:szCs w:val="24"/>
        </w:rPr>
        <w:t xml:space="preserve">status, education and health </w:t>
      </w:r>
      <w:r w:rsidRPr="009E1EBE">
        <w:rPr>
          <w:rFonts w:ascii="Garamond" w:hAnsi="Garamond"/>
          <w:sz w:val="24"/>
          <w:szCs w:val="24"/>
        </w:rPr>
        <w:t>of women</w:t>
      </w:r>
      <w:r w:rsidR="005926BD">
        <w:rPr>
          <w:rFonts w:ascii="Garamond" w:hAnsi="Garamond"/>
          <w:sz w:val="24"/>
          <w:szCs w:val="24"/>
        </w:rPr>
        <w:t xml:space="preserve"> </w:t>
      </w:r>
      <w:r w:rsidR="005926BD">
        <w:rPr>
          <w:rFonts w:ascii="Garamond" w:hAnsi="Garamond"/>
          <w:sz w:val="24"/>
          <w:szCs w:val="24"/>
        </w:rPr>
        <w:t>and children</w:t>
      </w:r>
      <w:r w:rsidRPr="009E1EBE">
        <w:rPr>
          <w:rFonts w:ascii="Garamond" w:hAnsi="Garamond"/>
          <w:sz w:val="24"/>
          <w:szCs w:val="24"/>
        </w:rPr>
        <w:t xml:space="preserve"> in </w:t>
      </w:r>
      <w:r w:rsidR="005926BD">
        <w:rPr>
          <w:rFonts w:ascii="Garamond" w:hAnsi="Garamond"/>
          <w:sz w:val="24"/>
          <w:szCs w:val="24"/>
        </w:rPr>
        <w:t xml:space="preserve">a </w:t>
      </w:r>
      <w:r w:rsidRPr="009E1EBE">
        <w:rPr>
          <w:rFonts w:ascii="Garamond" w:hAnsi="Garamond"/>
          <w:sz w:val="24"/>
          <w:szCs w:val="24"/>
        </w:rPr>
        <w:t>society, which in turn increases development and growth of a country. Reversely, economic development itself leads to changes in the labor market and better opportunities for w</w:t>
      </w:r>
      <w:r w:rsidRPr="009E1EBE">
        <w:rPr>
          <w:rFonts w:ascii="Garamond" w:hAnsi="Garamond"/>
          <w:sz w:val="24"/>
          <w:szCs w:val="24"/>
        </w:rPr>
        <w:t>omen (</w:t>
      </w:r>
      <w:proofErr w:type="spellStart"/>
      <w:r w:rsidRPr="009E1EBE">
        <w:rPr>
          <w:rFonts w:ascii="Garamond" w:hAnsi="Garamond"/>
          <w:sz w:val="24"/>
          <w:szCs w:val="24"/>
        </w:rPr>
        <w:t>Duflo</w:t>
      </w:r>
      <w:proofErr w:type="spellEnd"/>
      <w:r w:rsidRPr="009E1EBE">
        <w:rPr>
          <w:rFonts w:ascii="Garamond" w:hAnsi="Garamond"/>
          <w:sz w:val="24"/>
          <w:szCs w:val="24"/>
        </w:rPr>
        <w:t xml:space="preserve"> 2012).</w:t>
      </w:r>
      <w:r w:rsidR="003A772E">
        <w:rPr>
          <w:rFonts w:ascii="Garamond" w:hAnsi="Garamond"/>
          <w:sz w:val="24"/>
          <w:szCs w:val="24"/>
        </w:rPr>
        <w:t xml:space="preserve"> </w:t>
      </w:r>
    </w:p>
    <w:p w:rsidR="00574C57" w:rsidRDefault="00AE0849" w:rsidP="00CF31CF">
      <w:pPr>
        <w:spacing w:line="480" w:lineRule="auto"/>
        <w:ind w:firstLine="720"/>
        <w:jc w:val="both"/>
        <w:rPr>
          <w:rFonts w:ascii="Garamond" w:hAnsi="Garamond"/>
          <w:sz w:val="24"/>
          <w:szCs w:val="24"/>
        </w:rPr>
      </w:pPr>
      <w:r w:rsidRPr="009E1EBE">
        <w:rPr>
          <w:rFonts w:ascii="Garamond" w:hAnsi="Garamond"/>
          <w:sz w:val="24"/>
          <w:szCs w:val="24"/>
        </w:rPr>
        <w:t>The effect</w:t>
      </w:r>
      <w:r w:rsidR="007D14E7" w:rsidRPr="009E1EBE">
        <w:rPr>
          <w:rFonts w:ascii="Garamond" w:hAnsi="Garamond"/>
          <w:sz w:val="24"/>
          <w:szCs w:val="24"/>
        </w:rPr>
        <w:t>s</w:t>
      </w:r>
      <w:r w:rsidRPr="009E1EBE">
        <w:rPr>
          <w:rFonts w:ascii="Garamond" w:hAnsi="Garamond"/>
          <w:sz w:val="24"/>
          <w:szCs w:val="24"/>
        </w:rPr>
        <w:t xml:space="preserve"> of a change in the sex ratio on marr</w:t>
      </w:r>
      <w:r w:rsidR="00C91E18" w:rsidRPr="009E1EBE">
        <w:rPr>
          <w:rFonts w:ascii="Garamond" w:hAnsi="Garamond"/>
          <w:sz w:val="24"/>
          <w:szCs w:val="24"/>
        </w:rPr>
        <w:t>iage market</w:t>
      </w:r>
      <w:r w:rsidR="007D14E7" w:rsidRPr="009E1EBE">
        <w:rPr>
          <w:rFonts w:ascii="Garamond" w:hAnsi="Garamond"/>
          <w:sz w:val="24"/>
          <w:szCs w:val="24"/>
        </w:rPr>
        <w:t>s</w:t>
      </w:r>
      <w:r w:rsidR="00C91E18" w:rsidRPr="009E1EBE">
        <w:rPr>
          <w:rFonts w:ascii="Garamond" w:hAnsi="Garamond"/>
          <w:sz w:val="24"/>
          <w:szCs w:val="24"/>
        </w:rPr>
        <w:t xml:space="preserve"> and labor market</w:t>
      </w:r>
      <w:r w:rsidR="007D14E7" w:rsidRPr="009E1EBE">
        <w:rPr>
          <w:rFonts w:ascii="Garamond" w:hAnsi="Garamond"/>
          <w:sz w:val="24"/>
          <w:szCs w:val="24"/>
        </w:rPr>
        <w:t>s</w:t>
      </w:r>
      <w:r w:rsidR="00C91E18" w:rsidRPr="009E1EBE">
        <w:rPr>
          <w:rFonts w:ascii="Garamond" w:hAnsi="Garamond"/>
          <w:sz w:val="24"/>
          <w:szCs w:val="24"/>
        </w:rPr>
        <w:t xml:space="preserve"> have</w:t>
      </w:r>
      <w:r w:rsidRPr="009E1EBE">
        <w:rPr>
          <w:rFonts w:ascii="Garamond" w:hAnsi="Garamond"/>
          <w:sz w:val="24"/>
          <w:szCs w:val="24"/>
        </w:rPr>
        <w:t xml:space="preserve"> been documented in various context</w:t>
      </w:r>
      <w:r w:rsidR="00940CEB" w:rsidRPr="009E1EBE">
        <w:rPr>
          <w:rFonts w:ascii="Garamond" w:hAnsi="Garamond"/>
          <w:sz w:val="24"/>
          <w:szCs w:val="24"/>
        </w:rPr>
        <w:t xml:space="preserve">s. </w:t>
      </w:r>
      <w:r w:rsidR="00574C57" w:rsidRPr="009E1EBE">
        <w:rPr>
          <w:rFonts w:ascii="Garamond" w:hAnsi="Garamond"/>
          <w:sz w:val="24"/>
          <w:szCs w:val="24"/>
        </w:rPr>
        <w:t>The most well documented change</w:t>
      </w:r>
      <w:r w:rsidR="003A772E" w:rsidRPr="009E1EBE">
        <w:rPr>
          <w:rFonts w:ascii="Garamond" w:hAnsi="Garamond"/>
          <w:sz w:val="24"/>
          <w:szCs w:val="24"/>
        </w:rPr>
        <w:t>s</w:t>
      </w:r>
      <w:r w:rsidR="00574C57" w:rsidRPr="009E1EBE">
        <w:rPr>
          <w:rFonts w:ascii="Garamond" w:hAnsi="Garamond"/>
          <w:sz w:val="24"/>
          <w:szCs w:val="24"/>
        </w:rPr>
        <w:t xml:space="preserve"> in the labor market for women in the developed country context </w:t>
      </w:r>
      <w:r w:rsidR="00D67213" w:rsidRPr="009E1EBE">
        <w:rPr>
          <w:rFonts w:ascii="Garamond" w:hAnsi="Garamond"/>
          <w:sz w:val="24"/>
          <w:szCs w:val="24"/>
        </w:rPr>
        <w:t xml:space="preserve">are those in </w:t>
      </w:r>
      <w:r w:rsidR="00574C57" w:rsidRPr="009E1EBE">
        <w:rPr>
          <w:rFonts w:ascii="Garamond" w:hAnsi="Garamond"/>
          <w:sz w:val="24"/>
          <w:szCs w:val="24"/>
        </w:rPr>
        <w:t xml:space="preserve">the U.S. labor market </w:t>
      </w:r>
      <w:r w:rsidR="007D14E7" w:rsidRPr="009E1EBE">
        <w:rPr>
          <w:rFonts w:ascii="Garamond" w:hAnsi="Garamond"/>
          <w:sz w:val="24"/>
          <w:szCs w:val="24"/>
        </w:rPr>
        <w:t xml:space="preserve">from </w:t>
      </w:r>
      <w:r w:rsidR="00574C57" w:rsidRPr="009E1EBE">
        <w:rPr>
          <w:rFonts w:ascii="Garamond" w:hAnsi="Garamond"/>
          <w:sz w:val="24"/>
          <w:szCs w:val="24"/>
        </w:rPr>
        <w:t xml:space="preserve">1930 to </w:t>
      </w:r>
      <w:r w:rsidR="007D14E7" w:rsidRPr="009E1EBE">
        <w:rPr>
          <w:rFonts w:ascii="Garamond" w:hAnsi="Garamond"/>
          <w:sz w:val="24"/>
          <w:szCs w:val="24"/>
        </w:rPr>
        <w:t xml:space="preserve">the </w:t>
      </w:r>
      <w:r w:rsidR="00574C57" w:rsidRPr="009E1EBE">
        <w:rPr>
          <w:rFonts w:ascii="Garamond" w:hAnsi="Garamond"/>
          <w:sz w:val="24"/>
          <w:szCs w:val="24"/>
        </w:rPr>
        <w:t xml:space="preserve">1950s </w:t>
      </w:r>
      <w:r w:rsidR="006A2150" w:rsidRPr="009E1EBE">
        <w:rPr>
          <w:rFonts w:ascii="Garamond" w:hAnsi="Garamond"/>
          <w:sz w:val="24"/>
          <w:szCs w:val="24"/>
        </w:rPr>
        <w:t xml:space="preserve">due to World War II </w:t>
      </w:r>
      <w:r w:rsidR="00574C57" w:rsidRPr="009E1EBE">
        <w:rPr>
          <w:rFonts w:ascii="Garamond" w:hAnsi="Garamond"/>
          <w:sz w:val="24"/>
          <w:szCs w:val="24"/>
        </w:rPr>
        <w:t>(</w:t>
      </w:r>
      <w:proofErr w:type="spellStart"/>
      <w:r w:rsidR="00574C57" w:rsidRPr="009E1EBE">
        <w:rPr>
          <w:rFonts w:ascii="Garamond" w:hAnsi="Garamond"/>
          <w:sz w:val="24"/>
          <w:szCs w:val="24"/>
        </w:rPr>
        <w:t>Acemoglu</w:t>
      </w:r>
      <w:proofErr w:type="spellEnd"/>
      <w:r w:rsidR="00574C57" w:rsidRPr="009E1EBE">
        <w:rPr>
          <w:rFonts w:ascii="Garamond" w:hAnsi="Garamond"/>
          <w:sz w:val="24"/>
          <w:szCs w:val="24"/>
        </w:rPr>
        <w:t xml:space="preserve"> et al. 2004; Goldin 1991, 2006). World War II</w:t>
      </w:r>
      <w:r w:rsidR="006A2150" w:rsidRPr="009E1EBE">
        <w:rPr>
          <w:rFonts w:ascii="Garamond" w:hAnsi="Garamond"/>
          <w:sz w:val="24"/>
          <w:szCs w:val="24"/>
        </w:rPr>
        <w:t>, a shock to labor supply and labor demand,</w:t>
      </w:r>
      <w:r w:rsidR="00574C57" w:rsidRPr="009E1EBE">
        <w:rPr>
          <w:rFonts w:ascii="Garamond" w:hAnsi="Garamond"/>
          <w:sz w:val="24"/>
          <w:szCs w:val="24"/>
        </w:rPr>
        <w:t xml:space="preserve"> changed the number of men available to work in the U.S. labor market in the short-</w:t>
      </w:r>
      <w:r w:rsidR="00574C57" w:rsidRPr="009E1EBE">
        <w:rPr>
          <w:rFonts w:ascii="Garamond" w:hAnsi="Garamond"/>
          <w:sz w:val="24"/>
          <w:szCs w:val="24"/>
        </w:rPr>
        <w:lastRenderedPageBreak/>
        <w:t xml:space="preserve">term but also changed the nature of work for women in the short-term to long-term. </w:t>
      </w:r>
      <w:proofErr w:type="spellStart"/>
      <w:r w:rsidR="007264BD" w:rsidRPr="009E1EBE">
        <w:rPr>
          <w:rFonts w:ascii="Garamond" w:hAnsi="Garamond"/>
          <w:sz w:val="24"/>
          <w:szCs w:val="24"/>
        </w:rPr>
        <w:t>Acemoglu</w:t>
      </w:r>
      <w:proofErr w:type="spellEnd"/>
      <w:r w:rsidR="007264BD" w:rsidRPr="009E1EBE">
        <w:rPr>
          <w:rFonts w:ascii="Garamond" w:hAnsi="Garamond"/>
          <w:sz w:val="24"/>
          <w:szCs w:val="24"/>
        </w:rPr>
        <w:t xml:space="preserve"> et al. 2004 find an increase in female labor force participation due to the mobilization and this in turn lowered both male and female wages and increased the earnings inequality between men of different education levels. Goldin (1991) does not find a continued permanent shift of labor force participation of women </w:t>
      </w:r>
      <w:r w:rsidR="00D67213" w:rsidRPr="009E1EBE">
        <w:rPr>
          <w:rFonts w:ascii="Garamond" w:hAnsi="Garamond"/>
          <w:sz w:val="24"/>
          <w:szCs w:val="24"/>
        </w:rPr>
        <w:t xml:space="preserve">because </w:t>
      </w:r>
      <w:r w:rsidR="007264BD" w:rsidRPr="009E1EBE">
        <w:rPr>
          <w:rFonts w:ascii="Garamond" w:hAnsi="Garamond"/>
          <w:sz w:val="24"/>
          <w:szCs w:val="24"/>
        </w:rPr>
        <w:t xml:space="preserve">many of the women that were </w:t>
      </w:r>
      <w:r w:rsidR="00D67213" w:rsidRPr="009E1EBE">
        <w:rPr>
          <w:rFonts w:ascii="Garamond" w:hAnsi="Garamond"/>
          <w:sz w:val="24"/>
          <w:szCs w:val="24"/>
        </w:rPr>
        <w:t xml:space="preserve">employed </w:t>
      </w:r>
      <w:r w:rsidR="007264BD" w:rsidRPr="009E1EBE">
        <w:rPr>
          <w:rFonts w:ascii="Garamond" w:hAnsi="Garamond"/>
          <w:sz w:val="24"/>
          <w:szCs w:val="24"/>
        </w:rPr>
        <w:t xml:space="preserve">during World War II exited by 1950. </w:t>
      </w:r>
      <w:r w:rsidR="00C91E18" w:rsidRPr="009E1EBE">
        <w:rPr>
          <w:rFonts w:ascii="Garamond" w:hAnsi="Garamond"/>
          <w:sz w:val="24"/>
          <w:szCs w:val="24"/>
        </w:rPr>
        <w:t>However, Goldin (2006) documents this period as the start of a continued increase in married female labor force participation, with decreases in the constraints facing married women’s employment.</w:t>
      </w:r>
    </w:p>
    <w:p w:rsidR="00CA6FC6" w:rsidRDefault="00D67213" w:rsidP="00CF31CF">
      <w:pPr>
        <w:spacing w:line="480" w:lineRule="auto"/>
        <w:ind w:firstLine="720"/>
        <w:jc w:val="both"/>
        <w:rPr>
          <w:rFonts w:ascii="Garamond" w:hAnsi="Garamond"/>
          <w:sz w:val="24"/>
          <w:szCs w:val="24"/>
        </w:rPr>
      </w:pPr>
      <w:r w:rsidRPr="009E1EBE">
        <w:rPr>
          <w:rFonts w:ascii="Garamond" w:hAnsi="Garamond"/>
          <w:sz w:val="24"/>
          <w:szCs w:val="24"/>
        </w:rPr>
        <w:t xml:space="preserve">In their analysis </w:t>
      </w:r>
      <w:r w:rsidR="00C91E18" w:rsidRPr="009E1EBE">
        <w:rPr>
          <w:rFonts w:ascii="Garamond" w:hAnsi="Garamond"/>
          <w:sz w:val="24"/>
          <w:szCs w:val="24"/>
        </w:rPr>
        <w:t xml:space="preserve">of the change in the supply of men that drive female labor and marriage outcomes, </w:t>
      </w:r>
      <w:proofErr w:type="spellStart"/>
      <w:r w:rsidR="00C91E18" w:rsidRPr="009E1EBE">
        <w:rPr>
          <w:rFonts w:ascii="Garamond" w:hAnsi="Garamond"/>
          <w:sz w:val="24"/>
          <w:szCs w:val="24"/>
        </w:rPr>
        <w:t>Abramitzky</w:t>
      </w:r>
      <w:proofErr w:type="spellEnd"/>
      <w:r w:rsidR="00C91E18" w:rsidRPr="009E1EBE">
        <w:rPr>
          <w:rFonts w:ascii="Garamond" w:hAnsi="Garamond"/>
          <w:sz w:val="24"/>
          <w:szCs w:val="24"/>
        </w:rPr>
        <w:t xml:space="preserve"> et al. (2011) </w:t>
      </w:r>
      <w:r w:rsidRPr="009E1EBE">
        <w:rPr>
          <w:rFonts w:ascii="Garamond" w:hAnsi="Garamond"/>
          <w:sz w:val="24"/>
          <w:szCs w:val="24"/>
        </w:rPr>
        <w:t xml:space="preserve">examine how </w:t>
      </w:r>
      <w:r w:rsidR="00C91E18" w:rsidRPr="009E1EBE">
        <w:rPr>
          <w:rFonts w:ascii="Garamond" w:hAnsi="Garamond"/>
          <w:sz w:val="24"/>
          <w:szCs w:val="24"/>
        </w:rPr>
        <w:t xml:space="preserve">World War I impacts the </w:t>
      </w:r>
      <w:r w:rsidRPr="009E1EBE">
        <w:rPr>
          <w:rFonts w:ascii="Garamond" w:hAnsi="Garamond"/>
          <w:sz w:val="24"/>
          <w:szCs w:val="24"/>
        </w:rPr>
        <w:t xml:space="preserve">availability of </w:t>
      </w:r>
      <w:r w:rsidR="00C91E18" w:rsidRPr="009E1EBE">
        <w:rPr>
          <w:rFonts w:ascii="Garamond" w:hAnsi="Garamond"/>
          <w:sz w:val="24"/>
          <w:szCs w:val="24"/>
        </w:rPr>
        <w:t xml:space="preserve">men in France on the marriage market. </w:t>
      </w:r>
      <w:r w:rsidR="00550B40" w:rsidRPr="009E1EBE">
        <w:rPr>
          <w:rFonts w:ascii="Garamond" w:hAnsi="Garamond"/>
          <w:sz w:val="24"/>
          <w:szCs w:val="24"/>
        </w:rPr>
        <w:t xml:space="preserve">The effect of </w:t>
      </w:r>
      <w:r w:rsidR="00840251" w:rsidRPr="009E1EBE">
        <w:rPr>
          <w:rFonts w:ascii="Garamond" w:hAnsi="Garamond"/>
          <w:sz w:val="24"/>
          <w:szCs w:val="24"/>
        </w:rPr>
        <w:t xml:space="preserve">a </w:t>
      </w:r>
      <w:r w:rsidR="00C91E18" w:rsidRPr="009E1EBE">
        <w:rPr>
          <w:rFonts w:ascii="Garamond" w:hAnsi="Garamond"/>
          <w:sz w:val="24"/>
          <w:szCs w:val="24"/>
        </w:rPr>
        <w:t>chang</w:t>
      </w:r>
      <w:r w:rsidR="002C2A3F" w:rsidRPr="009E1EBE">
        <w:rPr>
          <w:rFonts w:ascii="Garamond" w:hAnsi="Garamond"/>
          <w:sz w:val="24"/>
          <w:szCs w:val="24"/>
        </w:rPr>
        <w:t>ed sex</w:t>
      </w:r>
      <w:r w:rsidR="00550B40" w:rsidRPr="009E1EBE">
        <w:rPr>
          <w:rFonts w:ascii="Garamond" w:hAnsi="Garamond"/>
          <w:sz w:val="24"/>
          <w:szCs w:val="24"/>
        </w:rPr>
        <w:t xml:space="preserve"> ratio in this context, where men were scarce or missing, was a change in marriage</w:t>
      </w:r>
      <w:r w:rsidR="00840251" w:rsidRPr="009E1EBE">
        <w:rPr>
          <w:rFonts w:ascii="Garamond" w:hAnsi="Garamond"/>
          <w:sz w:val="24"/>
          <w:szCs w:val="24"/>
        </w:rPr>
        <w:t xml:space="preserve"> rates</w:t>
      </w:r>
      <w:r w:rsidR="00550B40" w:rsidRPr="009E1EBE">
        <w:rPr>
          <w:rFonts w:ascii="Garamond" w:hAnsi="Garamond"/>
          <w:sz w:val="24"/>
          <w:szCs w:val="24"/>
        </w:rPr>
        <w:t>. Amon</w:t>
      </w:r>
      <w:r w:rsidR="009B460B">
        <w:rPr>
          <w:rFonts w:ascii="Garamond" w:hAnsi="Garamond"/>
          <w:sz w:val="24"/>
          <w:szCs w:val="24"/>
        </w:rPr>
        <w:t xml:space="preserve">gst decreases in divorce rates and </w:t>
      </w:r>
      <w:r w:rsidR="00550B40" w:rsidRPr="009E1EBE">
        <w:rPr>
          <w:rFonts w:ascii="Garamond" w:hAnsi="Garamond"/>
          <w:sz w:val="24"/>
          <w:szCs w:val="24"/>
        </w:rPr>
        <w:t xml:space="preserve">in </w:t>
      </w:r>
      <w:r w:rsidR="005926BD">
        <w:rPr>
          <w:rFonts w:ascii="Garamond" w:hAnsi="Garamond"/>
          <w:sz w:val="24"/>
          <w:szCs w:val="24"/>
        </w:rPr>
        <w:t xml:space="preserve">the </w:t>
      </w:r>
      <w:r w:rsidR="00550B40" w:rsidRPr="009E1EBE">
        <w:rPr>
          <w:rFonts w:ascii="Garamond" w:hAnsi="Garamond"/>
          <w:sz w:val="24"/>
          <w:szCs w:val="24"/>
        </w:rPr>
        <w:t>age gap</w:t>
      </w:r>
      <w:r w:rsidR="005926BD">
        <w:rPr>
          <w:rFonts w:ascii="Garamond" w:hAnsi="Garamond"/>
          <w:sz w:val="24"/>
          <w:szCs w:val="24"/>
        </w:rPr>
        <w:t xml:space="preserve"> between men and women,</w:t>
      </w:r>
      <w:r w:rsidR="00550B40" w:rsidRPr="009E1EBE">
        <w:rPr>
          <w:rFonts w:ascii="Garamond" w:hAnsi="Garamond"/>
          <w:sz w:val="24"/>
          <w:szCs w:val="24"/>
        </w:rPr>
        <w:t xml:space="preserve"> </w:t>
      </w:r>
      <w:r w:rsidR="009B460B">
        <w:rPr>
          <w:rFonts w:ascii="Garamond" w:hAnsi="Garamond"/>
          <w:sz w:val="24"/>
          <w:szCs w:val="24"/>
        </w:rPr>
        <w:t xml:space="preserve">and </w:t>
      </w:r>
      <w:r w:rsidR="009B460B" w:rsidRPr="009E1EBE">
        <w:rPr>
          <w:rFonts w:ascii="Garamond" w:hAnsi="Garamond"/>
          <w:sz w:val="24"/>
          <w:szCs w:val="24"/>
        </w:rPr>
        <w:t>inc</w:t>
      </w:r>
      <w:r w:rsidR="009B460B">
        <w:rPr>
          <w:rFonts w:ascii="Garamond" w:hAnsi="Garamond"/>
          <w:sz w:val="24"/>
          <w:szCs w:val="24"/>
        </w:rPr>
        <w:t xml:space="preserve">reases in out-of-wedlock births, </w:t>
      </w:r>
      <w:r w:rsidR="00550B40" w:rsidRPr="009E1EBE">
        <w:rPr>
          <w:rFonts w:ascii="Garamond" w:hAnsi="Garamond"/>
          <w:sz w:val="24"/>
          <w:szCs w:val="24"/>
        </w:rPr>
        <w:t xml:space="preserve">men </w:t>
      </w:r>
      <w:r w:rsidR="009B460B">
        <w:rPr>
          <w:rFonts w:ascii="Garamond" w:hAnsi="Garamond"/>
          <w:sz w:val="24"/>
          <w:szCs w:val="24"/>
        </w:rPr>
        <w:t>were more likely to</w:t>
      </w:r>
      <w:r w:rsidR="009B460B" w:rsidRPr="009E1EBE">
        <w:rPr>
          <w:rFonts w:ascii="Garamond" w:hAnsi="Garamond"/>
          <w:sz w:val="24"/>
          <w:szCs w:val="24"/>
        </w:rPr>
        <w:t xml:space="preserve"> </w:t>
      </w:r>
      <w:r w:rsidR="00550B40" w:rsidRPr="009E1EBE">
        <w:rPr>
          <w:rFonts w:ascii="Garamond" w:hAnsi="Garamond"/>
          <w:sz w:val="24"/>
          <w:szCs w:val="24"/>
        </w:rPr>
        <w:t xml:space="preserve">marry while women </w:t>
      </w:r>
      <w:r w:rsidR="009B460B">
        <w:rPr>
          <w:rFonts w:ascii="Garamond" w:hAnsi="Garamond"/>
          <w:sz w:val="24"/>
          <w:szCs w:val="24"/>
        </w:rPr>
        <w:t>were less likely</w:t>
      </w:r>
      <w:r w:rsidR="00550B40" w:rsidRPr="009E1EBE">
        <w:rPr>
          <w:rFonts w:ascii="Garamond" w:hAnsi="Garamond"/>
          <w:sz w:val="24"/>
          <w:szCs w:val="24"/>
        </w:rPr>
        <w:t>.</w:t>
      </w:r>
      <w:r w:rsidR="00CF31CF" w:rsidRPr="009E1EBE">
        <w:rPr>
          <w:rFonts w:ascii="Garamond" w:hAnsi="Garamond"/>
          <w:sz w:val="24"/>
          <w:szCs w:val="24"/>
        </w:rPr>
        <w:t xml:space="preserve"> </w:t>
      </w:r>
      <w:r w:rsidR="00550B40" w:rsidRPr="009E1EBE">
        <w:rPr>
          <w:rFonts w:ascii="Garamond" w:hAnsi="Garamond"/>
          <w:sz w:val="24"/>
          <w:szCs w:val="24"/>
        </w:rPr>
        <w:t xml:space="preserve">Charles and </w:t>
      </w:r>
      <w:proofErr w:type="spellStart"/>
      <w:r w:rsidR="00550B40" w:rsidRPr="009E1EBE">
        <w:rPr>
          <w:rFonts w:ascii="Garamond" w:hAnsi="Garamond"/>
          <w:sz w:val="24"/>
          <w:szCs w:val="24"/>
        </w:rPr>
        <w:t>Luoh</w:t>
      </w:r>
      <w:proofErr w:type="spellEnd"/>
      <w:r w:rsidR="00550B40" w:rsidRPr="009E1EBE">
        <w:rPr>
          <w:rFonts w:ascii="Garamond" w:hAnsi="Garamond"/>
          <w:sz w:val="24"/>
          <w:szCs w:val="24"/>
        </w:rPr>
        <w:t xml:space="preserve"> (2010)</w:t>
      </w:r>
      <w:r w:rsidR="009B460B">
        <w:rPr>
          <w:rFonts w:ascii="Garamond" w:hAnsi="Garamond"/>
          <w:sz w:val="24"/>
          <w:szCs w:val="24"/>
        </w:rPr>
        <w:t>,</w:t>
      </w:r>
      <w:r w:rsidR="00550B40" w:rsidRPr="009E1EBE">
        <w:rPr>
          <w:rFonts w:ascii="Garamond" w:hAnsi="Garamond"/>
          <w:sz w:val="24"/>
          <w:szCs w:val="24"/>
        </w:rPr>
        <w:t xml:space="preserve"> in the context of </w:t>
      </w:r>
      <w:r w:rsidR="00CA6FC6" w:rsidRPr="009E1EBE">
        <w:rPr>
          <w:rFonts w:ascii="Garamond" w:hAnsi="Garamond"/>
          <w:sz w:val="24"/>
          <w:szCs w:val="24"/>
        </w:rPr>
        <w:t xml:space="preserve">high male imprisonment in the U.S. </w:t>
      </w:r>
      <w:r w:rsidR="00840251" w:rsidRPr="009E1EBE">
        <w:rPr>
          <w:rFonts w:ascii="Garamond" w:hAnsi="Garamond"/>
          <w:sz w:val="24"/>
          <w:szCs w:val="24"/>
        </w:rPr>
        <w:t xml:space="preserve">for a </w:t>
      </w:r>
      <w:r w:rsidR="00CA6FC6" w:rsidRPr="009E1EBE">
        <w:rPr>
          <w:rFonts w:ascii="Garamond" w:hAnsi="Garamond"/>
          <w:sz w:val="24"/>
          <w:szCs w:val="24"/>
        </w:rPr>
        <w:t>specific ethnic group</w:t>
      </w:r>
      <w:r w:rsidR="009B460B">
        <w:rPr>
          <w:rFonts w:ascii="Garamond" w:hAnsi="Garamond"/>
          <w:sz w:val="24"/>
          <w:szCs w:val="24"/>
        </w:rPr>
        <w:t>,</w:t>
      </w:r>
      <w:r w:rsidR="00CA6FC6" w:rsidRPr="009E1EBE">
        <w:rPr>
          <w:rFonts w:ascii="Garamond" w:hAnsi="Garamond"/>
          <w:sz w:val="24"/>
          <w:szCs w:val="24"/>
        </w:rPr>
        <w:t xml:space="preserve"> </w:t>
      </w:r>
      <w:r w:rsidR="00840251" w:rsidRPr="009E1EBE">
        <w:rPr>
          <w:rFonts w:ascii="Garamond" w:hAnsi="Garamond"/>
          <w:sz w:val="24"/>
          <w:szCs w:val="24"/>
        </w:rPr>
        <w:t xml:space="preserve">found that </w:t>
      </w:r>
      <w:r w:rsidR="00CA6FC6" w:rsidRPr="009E1EBE">
        <w:rPr>
          <w:rFonts w:ascii="Garamond" w:hAnsi="Garamond"/>
          <w:sz w:val="24"/>
          <w:szCs w:val="24"/>
        </w:rPr>
        <w:t>the female marriage rates and the quality of male spouses decreased alongside increases in female education and labor supply.</w:t>
      </w:r>
      <w:r w:rsidR="00CA6FC6">
        <w:rPr>
          <w:rFonts w:ascii="Garamond" w:hAnsi="Garamond"/>
          <w:sz w:val="24"/>
          <w:szCs w:val="24"/>
        </w:rPr>
        <w:t xml:space="preserve"> </w:t>
      </w:r>
    </w:p>
    <w:p w:rsidR="006A2150" w:rsidRDefault="009E1EBE" w:rsidP="00CF31CF">
      <w:pPr>
        <w:spacing w:line="480" w:lineRule="auto"/>
        <w:ind w:firstLine="720"/>
        <w:jc w:val="both"/>
        <w:rPr>
          <w:rFonts w:ascii="Garamond" w:hAnsi="Garamond"/>
          <w:sz w:val="24"/>
          <w:szCs w:val="24"/>
        </w:rPr>
      </w:pPr>
      <w:r>
        <w:rPr>
          <w:rFonts w:ascii="Garamond" w:hAnsi="Garamond"/>
          <w:sz w:val="24"/>
          <w:szCs w:val="24"/>
        </w:rPr>
        <w:t>In</w:t>
      </w:r>
      <w:r w:rsidR="00AE0849">
        <w:rPr>
          <w:rFonts w:ascii="Garamond" w:hAnsi="Garamond"/>
          <w:sz w:val="24"/>
          <w:szCs w:val="24"/>
        </w:rPr>
        <w:t xml:space="preserve"> the context of migration, </w:t>
      </w:r>
      <w:proofErr w:type="spellStart"/>
      <w:r w:rsidR="00AE0849">
        <w:rPr>
          <w:rFonts w:ascii="Garamond" w:hAnsi="Garamond"/>
          <w:sz w:val="24"/>
          <w:szCs w:val="24"/>
        </w:rPr>
        <w:t>Angrist</w:t>
      </w:r>
      <w:proofErr w:type="spellEnd"/>
      <w:r w:rsidR="00AE0849">
        <w:rPr>
          <w:rFonts w:ascii="Garamond" w:hAnsi="Garamond"/>
          <w:sz w:val="24"/>
          <w:szCs w:val="24"/>
        </w:rPr>
        <w:t xml:space="preserve"> </w:t>
      </w:r>
      <w:r w:rsidR="00B80D7D">
        <w:rPr>
          <w:rFonts w:ascii="Garamond" w:hAnsi="Garamond"/>
          <w:sz w:val="24"/>
          <w:szCs w:val="24"/>
        </w:rPr>
        <w:t xml:space="preserve">(2002) </w:t>
      </w:r>
      <w:r w:rsidR="00CA6FC6">
        <w:rPr>
          <w:rFonts w:ascii="Garamond" w:hAnsi="Garamond"/>
          <w:sz w:val="24"/>
          <w:szCs w:val="24"/>
        </w:rPr>
        <w:t>st</w:t>
      </w:r>
      <w:r w:rsidR="002C2A3F">
        <w:rPr>
          <w:rFonts w:ascii="Garamond" w:hAnsi="Garamond"/>
          <w:sz w:val="24"/>
          <w:szCs w:val="24"/>
        </w:rPr>
        <w:t xml:space="preserve">udies an increase in the sex </w:t>
      </w:r>
      <w:r w:rsidR="00CA6FC6">
        <w:rPr>
          <w:rFonts w:ascii="Garamond" w:hAnsi="Garamond"/>
          <w:sz w:val="24"/>
          <w:szCs w:val="24"/>
        </w:rPr>
        <w:t>ratio and its positive effect on the female marriage rate and negative effect on female labor force participation</w:t>
      </w:r>
      <w:r w:rsidR="00C9772E">
        <w:rPr>
          <w:rFonts w:ascii="Garamond" w:hAnsi="Garamond"/>
          <w:sz w:val="24"/>
          <w:szCs w:val="24"/>
        </w:rPr>
        <w:t xml:space="preserve"> in the United States</w:t>
      </w:r>
      <w:r w:rsidR="00CA6FC6">
        <w:rPr>
          <w:rFonts w:ascii="Garamond" w:hAnsi="Garamond"/>
          <w:sz w:val="24"/>
          <w:szCs w:val="24"/>
        </w:rPr>
        <w:t>.</w:t>
      </w:r>
      <w:r w:rsidR="007A79C9">
        <w:rPr>
          <w:rFonts w:ascii="Garamond" w:hAnsi="Garamond"/>
          <w:sz w:val="24"/>
          <w:szCs w:val="24"/>
        </w:rPr>
        <w:t xml:space="preserve"> </w:t>
      </w:r>
      <w:r w:rsidR="00742B35">
        <w:rPr>
          <w:rFonts w:ascii="Garamond" w:hAnsi="Garamond"/>
          <w:sz w:val="24"/>
          <w:szCs w:val="24"/>
        </w:rPr>
        <w:t xml:space="preserve">Most of the </w:t>
      </w:r>
      <w:r w:rsidR="009B460B">
        <w:rPr>
          <w:rFonts w:ascii="Garamond" w:hAnsi="Garamond"/>
          <w:sz w:val="24"/>
          <w:szCs w:val="24"/>
        </w:rPr>
        <w:t xml:space="preserve">existing </w:t>
      </w:r>
      <w:r w:rsidR="00742B35">
        <w:rPr>
          <w:rFonts w:ascii="Garamond" w:hAnsi="Garamond"/>
          <w:sz w:val="24"/>
          <w:szCs w:val="24"/>
        </w:rPr>
        <w:t xml:space="preserve">literature is set in a </w:t>
      </w:r>
      <w:r w:rsidR="009B460B">
        <w:rPr>
          <w:rFonts w:ascii="Garamond" w:hAnsi="Garamond"/>
          <w:sz w:val="24"/>
          <w:szCs w:val="24"/>
        </w:rPr>
        <w:t xml:space="preserve">develop country </w:t>
      </w:r>
      <w:r w:rsidR="00742B35">
        <w:rPr>
          <w:rFonts w:ascii="Garamond" w:hAnsi="Garamond"/>
          <w:sz w:val="24"/>
          <w:szCs w:val="24"/>
        </w:rPr>
        <w:t>context: we cont</w:t>
      </w:r>
      <w:r w:rsidR="00C06587">
        <w:rPr>
          <w:rFonts w:ascii="Garamond" w:hAnsi="Garamond"/>
          <w:sz w:val="24"/>
          <w:szCs w:val="24"/>
        </w:rPr>
        <w:t xml:space="preserve">ribute to this literature with </w:t>
      </w:r>
      <w:r w:rsidR="00742B35">
        <w:rPr>
          <w:rFonts w:ascii="Garamond" w:hAnsi="Garamond"/>
          <w:sz w:val="24"/>
          <w:szCs w:val="24"/>
        </w:rPr>
        <w:t xml:space="preserve">our study employing large-scale Mexican migration, where disproportionally more men leave, to understand the </w:t>
      </w:r>
      <w:r w:rsidR="002C2A3F">
        <w:rPr>
          <w:rFonts w:ascii="Garamond" w:hAnsi="Garamond"/>
          <w:sz w:val="24"/>
          <w:szCs w:val="24"/>
        </w:rPr>
        <w:t>effect of a change in the sex</w:t>
      </w:r>
      <w:r w:rsidR="00742B35">
        <w:rPr>
          <w:rFonts w:ascii="Garamond" w:hAnsi="Garamond"/>
          <w:sz w:val="24"/>
          <w:szCs w:val="24"/>
        </w:rPr>
        <w:t xml:space="preserve"> ratio on subsequent outcomes in the labor and marriage market for women in a developing country.</w:t>
      </w:r>
    </w:p>
    <w:p w:rsidR="00E23429" w:rsidRDefault="00CD3F19" w:rsidP="002C2A3F">
      <w:pPr>
        <w:spacing w:line="480" w:lineRule="auto"/>
        <w:ind w:firstLine="720"/>
        <w:jc w:val="both"/>
        <w:rPr>
          <w:rFonts w:ascii="Garamond" w:hAnsi="Garamond"/>
          <w:sz w:val="24"/>
          <w:szCs w:val="24"/>
        </w:rPr>
      </w:pPr>
      <w:r>
        <w:rPr>
          <w:rFonts w:ascii="Garamond" w:hAnsi="Garamond"/>
          <w:sz w:val="24"/>
          <w:szCs w:val="24"/>
        </w:rPr>
        <w:lastRenderedPageBreak/>
        <w:t>O</w:t>
      </w:r>
      <w:r w:rsidR="00574C57" w:rsidRPr="00A41B9E">
        <w:rPr>
          <w:rFonts w:ascii="Garamond" w:hAnsi="Garamond"/>
          <w:sz w:val="24"/>
          <w:szCs w:val="24"/>
        </w:rPr>
        <w:t xml:space="preserve">ur paper is </w:t>
      </w:r>
      <w:r>
        <w:rPr>
          <w:rFonts w:ascii="Garamond" w:hAnsi="Garamond"/>
          <w:sz w:val="24"/>
          <w:szCs w:val="24"/>
        </w:rPr>
        <w:t xml:space="preserve">most closely related to </w:t>
      </w:r>
      <w:r w:rsidR="00574C57" w:rsidRPr="00A41B9E">
        <w:rPr>
          <w:rFonts w:ascii="Garamond" w:hAnsi="Garamond"/>
          <w:sz w:val="24"/>
          <w:szCs w:val="24"/>
        </w:rPr>
        <w:t xml:space="preserve">Raphael (2013), who </w:t>
      </w:r>
      <w:r>
        <w:rPr>
          <w:rFonts w:ascii="Garamond" w:hAnsi="Garamond"/>
          <w:sz w:val="24"/>
          <w:szCs w:val="24"/>
        </w:rPr>
        <w:t>using</w:t>
      </w:r>
      <w:r w:rsidR="00574C57" w:rsidRPr="00A41B9E">
        <w:rPr>
          <w:rFonts w:ascii="Garamond" w:hAnsi="Garamond"/>
          <w:sz w:val="24"/>
          <w:szCs w:val="24"/>
        </w:rPr>
        <w:t xml:space="preserve"> </w:t>
      </w:r>
      <w:r w:rsidR="003A772E" w:rsidRPr="00A41B9E">
        <w:rPr>
          <w:rFonts w:ascii="Garamond" w:hAnsi="Garamond"/>
          <w:sz w:val="24"/>
          <w:szCs w:val="24"/>
        </w:rPr>
        <w:t>Mexican mal</w:t>
      </w:r>
      <w:r>
        <w:rPr>
          <w:rFonts w:ascii="Garamond" w:hAnsi="Garamond"/>
          <w:sz w:val="24"/>
          <w:szCs w:val="24"/>
        </w:rPr>
        <w:t xml:space="preserve">e migration, </w:t>
      </w:r>
      <w:r w:rsidR="002C2A3F" w:rsidRPr="00A41B9E">
        <w:rPr>
          <w:rFonts w:ascii="Garamond" w:hAnsi="Garamond"/>
          <w:sz w:val="24"/>
          <w:szCs w:val="24"/>
        </w:rPr>
        <w:t xml:space="preserve">finds that </w:t>
      </w:r>
      <w:r>
        <w:rPr>
          <w:rFonts w:ascii="Garamond" w:hAnsi="Garamond"/>
          <w:sz w:val="24"/>
          <w:szCs w:val="24"/>
        </w:rPr>
        <w:t>a lower ratio of</w:t>
      </w:r>
      <w:r w:rsidR="006C34E4" w:rsidRPr="00A41B9E">
        <w:rPr>
          <w:rFonts w:ascii="Garamond" w:hAnsi="Garamond"/>
          <w:sz w:val="24"/>
          <w:szCs w:val="24"/>
        </w:rPr>
        <w:t xml:space="preserve"> males in Mexico, increase</w:t>
      </w:r>
      <w:r w:rsidR="00E2329E" w:rsidRPr="00A41B9E">
        <w:rPr>
          <w:rFonts w:ascii="Garamond" w:hAnsi="Garamond"/>
          <w:sz w:val="24"/>
          <w:szCs w:val="24"/>
        </w:rPr>
        <w:t>s</w:t>
      </w:r>
      <w:r w:rsidR="006C34E4" w:rsidRPr="00A41B9E">
        <w:rPr>
          <w:rFonts w:ascii="Garamond" w:hAnsi="Garamond"/>
          <w:sz w:val="24"/>
          <w:szCs w:val="24"/>
        </w:rPr>
        <w:t xml:space="preserve"> the number of never married women, femal</w:t>
      </w:r>
      <w:r w:rsidR="003A772E" w:rsidRPr="00A41B9E">
        <w:rPr>
          <w:rFonts w:ascii="Garamond" w:hAnsi="Garamond"/>
          <w:sz w:val="24"/>
          <w:szCs w:val="24"/>
        </w:rPr>
        <w:t xml:space="preserve">e educational attainment and the proportion of women employed. He does not find evidence for females marrying younger or less educated men. The </w:t>
      </w:r>
      <w:r w:rsidR="00E23429">
        <w:rPr>
          <w:rFonts w:ascii="Garamond" w:hAnsi="Garamond"/>
          <w:sz w:val="24"/>
          <w:szCs w:val="24"/>
        </w:rPr>
        <w:t>main results of</w:t>
      </w:r>
      <w:r w:rsidR="003A772E" w:rsidRPr="00A41B9E">
        <w:rPr>
          <w:rFonts w:ascii="Garamond" w:hAnsi="Garamond"/>
          <w:sz w:val="24"/>
          <w:szCs w:val="24"/>
        </w:rPr>
        <w:t xml:space="preserve"> </w:t>
      </w:r>
      <w:r w:rsidR="00E23429">
        <w:rPr>
          <w:rFonts w:ascii="Garamond" w:hAnsi="Garamond"/>
          <w:sz w:val="24"/>
          <w:szCs w:val="24"/>
        </w:rPr>
        <w:t>Raphael’s</w:t>
      </w:r>
      <w:r w:rsidR="003A772E" w:rsidRPr="00A41B9E">
        <w:rPr>
          <w:rFonts w:ascii="Garamond" w:hAnsi="Garamond"/>
          <w:sz w:val="24"/>
          <w:szCs w:val="24"/>
        </w:rPr>
        <w:t xml:space="preserve"> paper </w:t>
      </w:r>
      <w:r w:rsidR="00E23429">
        <w:rPr>
          <w:rFonts w:ascii="Garamond" w:hAnsi="Garamond"/>
          <w:sz w:val="24"/>
          <w:szCs w:val="24"/>
        </w:rPr>
        <w:t>are</w:t>
      </w:r>
      <w:r w:rsidR="003A772E" w:rsidRPr="00A41B9E">
        <w:rPr>
          <w:rFonts w:ascii="Garamond" w:hAnsi="Garamond"/>
          <w:sz w:val="24"/>
          <w:szCs w:val="24"/>
        </w:rPr>
        <w:t xml:space="preserve"> on the marriage market and </w:t>
      </w:r>
      <w:r>
        <w:rPr>
          <w:rFonts w:ascii="Garamond" w:hAnsi="Garamond"/>
          <w:sz w:val="24"/>
          <w:szCs w:val="24"/>
        </w:rPr>
        <w:t xml:space="preserve">women’s </w:t>
      </w:r>
      <w:r w:rsidR="003A772E" w:rsidRPr="00A41B9E">
        <w:rPr>
          <w:rFonts w:ascii="Garamond" w:hAnsi="Garamond"/>
          <w:sz w:val="24"/>
          <w:szCs w:val="24"/>
        </w:rPr>
        <w:t xml:space="preserve">educational attainment. </w:t>
      </w:r>
      <w:r w:rsidR="00323515">
        <w:rPr>
          <w:rFonts w:ascii="Garamond" w:hAnsi="Garamond"/>
          <w:sz w:val="24"/>
          <w:szCs w:val="24"/>
        </w:rPr>
        <w:t xml:space="preserve">Besides labor force participation, </w:t>
      </w:r>
      <w:r w:rsidR="00E23429">
        <w:rPr>
          <w:rFonts w:ascii="Garamond" w:hAnsi="Garamond"/>
          <w:sz w:val="24"/>
          <w:szCs w:val="24"/>
        </w:rPr>
        <w:t>he</w:t>
      </w:r>
      <w:r w:rsidR="00546E2B">
        <w:rPr>
          <w:rFonts w:ascii="Garamond" w:hAnsi="Garamond"/>
          <w:sz w:val="24"/>
          <w:szCs w:val="24"/>
        </w:rPr>
        <w:t xml:space="preserve"> does not explore the effects of the changing sex ratio on</w:t>
      </w:r>
      <w:r w:rsidR="00323515">
        <w:rPr>
          <w:rFonts w:ascii="Garamond" w:hAnsi="Garamond"/>
          <w:sz w:val="24"/>
          <w:szCs w:val="24"/>
        </w:rPr>
        <w:t xml:space="preserve"> occupational choice or </w:t>
      </w:r>
      <w:r w:rsidR="00546E2B">
        <w:rPr>
          <w:rFonts w:ascii="Garamond" w:hAnsi="Garamond"/>
          <w:sz w:val="24"/>
          <w:szCs w:val="24"/>
        </w:rPr>
        <w:t xml:space="preserve">women’s </w:t>
      </w:r>
      <w:r w:rsidR="00323515">
        <w:rPr>
          <w:rFonts w:ascii="Garamond" w:hAnsi="Garamond"/>
          <w:sz w:val="24"/>
          <w:szCs w:val="24"/>
        </w:rPr>
        <w:t>type of employment</w:t>
      </w:r>
      <w:r w:rsidR="00E23429">
        <w:rPr>
          <w:rFonts w:ascii="Garamond" w:hAnsi="Garamond"/>
          <w:sz w:val="24"/>
          <w:szCs w:val="24"/>
        </w:rPr>
        <w:t>, which is the focus of our paper.</w:t>
      </w:r>
      <w:r w:rsidR="003A772E" w:rsidRPr="00A41B9E">
        <w:rPr>
          <w:rFonts w:ascii="Garamond" w:hAnsi="Garamond"/>
          <w:sz w:val="24"/>
          <w:szCs w:val="24"/>
        </w:rPr>
        <w:t xml:space="preserve"> </w:t>
      </w:r>
    </w:p>
    <w:p w:rsidR="006368D4" w:rsidRDefault="00A41B9E" w:rsidP="002C2A3F">
      <w:pPr>
        <w:spacing w:line="480" w:lineRule="auto"/>
        <w:ind w:firstLine="720"/>
        <w:jc w:val="both"/>
        <w:rPr>
          <w:rFonts w:ascii="Garamond" w:hAnsi="Garamond"/>
          <w:sz w:val="24"/>
          <w:szCs w:val="24"/>
        </w:rPr>
      </w:pPr>
      <w:r w:rsidRPr="00A41B9E">
        <w:rPr>
          <w:rFonts w:ascii="Garamond" w:hAnsi="Garamond"/>
          <w:sz w:val="24"/>
          <w:szCs w:val="24"/>
        </w:rPr>
        <w:t xml:space="preserve">Pagan and Sanchez </w:t>
      </w:r>
      <w:r>
        <w:rPr>
          <w:rFonts w:ascii="Garamond" w:hAnsi="Garamond"/>
          <w:sz w:val="24"/>
          <w:szCs w:val="24"/>
        </w:rPr>
        <w:t>(</w:t>
      </w:r>
      <w:r w:rsidRPr="00A41B9E">
        <w:rPr>
          <w:rFonts w:ascii="Garamond" w:hAnsi="Garamond"/>
          <w:sz w:val="24"/>
          <w:szCs w:val="24"/>
        </w:rPr>
        <w:t>2000</w:t>
      </w:r>
      <w:r>
        <w:rPr>
          <w:rFonts w:ascii="Garamond" w:hAnsi="Garamond"/>
          <w:sz w:val="24"/>
          <w:szCs w:val="24"/>
        </w:rPr>
        <w:t>) have stud</w:t>
      </w:r>
      <w:r w:rsidR="0081377D">
        <w:rPr>
          <w:rFonts w:ascii="Garamond" w:hAnsi="Garamond"/>
          <w:sz w:val="24"/>
          <w:szCs w:val="24"/>
        </w:rPr>
        <w:t>ied</w:t>
      </w:r>
      <w:r>
        <w:rPr>
          <w:rFonts w:ascii="Garamond" w:hAnsi="Garamond"/>
          <w:sz w:val="24"/>
          <w:szCs w:val="24"/>
        </w:rPr>
        <w:t xml:space="preserve"> </w:t>
      </w:r>
      <w:r w:rsidR="00B412BE" w:rsidRPr="00A41B9E">
        <w:rPr>
          <w:rFonts w:ascii="Garamond" w:hAnsi="Garamond"/>
          <w:sz w:val="24"/>
          <w:szCs w:val="24"/>
        </w:rPr>
        <w:t>the changes of female labor force participation and occupational choice</w:t>
      </w:r>
      <w:r>
        <w:rPr>
          <w:rFonts w:ascii="Garamond" w:hAnsi="Garamond"/>
          <w:sz w:val="24"/>
          <w:szCs w:val="24"/>
        </w:rPr>
        <w:t>,</w:t>
      </w:r>
      <w:r w:rsidR="00B412BE" w:rsidRPr="00A41B9E">
        <w:rPr>
          <w:rFonts w:ascii="Garamond" w:hAnsi="Garamond"/>
          <w:sz w:val="24"/>
          <w:szCs w:val="24"/>
        </w:rPr>
        <w:t xml:space="preserve"> such as self-employment</w:t>
      </w:r>
      <w:r>
        <w:rPr>
          <w:rFonts w:ascii="Garamond" w:hAnsi="Garamond"/>
          <w:sz w:val="24"/>
          <w:szCs w:val="24"/>
        </w:rPr>
        <w:t xml:space="preserve"> or employment in specific sectors,</w:t>
      </w:r>
      <w:r w:rsidR="00B412BE" w:rsidRPr="00A41B9E">
        <w:rPr>
          <w:rFonts w:ascii="Garamond" w:hAnsi="Garamond"/>
          <w:sz w:val="24"/>
          <w:szCs w:val="24"/>
        </w:rPr>
        <w:t xml:space="preserve"> in Mexico from the beginning of the early 1990s. Recent evidence from </w:t>
      </w:r>
      <w:proofErr w:type="spellStart"/>
      <w:r w:rsidR="00B412BE" w:rsidRPr="00A41B9E">
        <w:rPr>
          <w:rFonts w:ascii="Garamond" w:hAnsi="Garamond"/>
          <w:sz w:val="24"/>
          <w:szCs w:val="24"/>
        </w:rPr>
        <w:t>Juhn</w:t>
      </w:r>
      <w:proofErr w:type="spellEnd"/>
      <w:r w:rsidR="00B412BE" w:rsidRPr="00A41B9E">
        <w:rPr>
          <w:rFonts w:ascii="Garamond" w:hAnsi="Garamond"/>
          <w:sz w:val="24"/>
          <w:szCs w:val="24"/>
        </w:rPr>
        <w:t xml:space="preserve"> et al. (2013, 2014)</w:t>
      </w:r>
      <w:r w:rsidR="005828D2" w:rsidRPr="00A41B9E">
        <w:rPr>
          <w:rFonts w:ascii="Garamond" w:hAnsi="Garamond"/>
          <w:sz w:val="24"/>
          <w:szCs w:val="24"/>
        </w:rPr>
        <w:t xml:space="preserve"> on the effect of trade liberalization on female labor market outcomes finds</w:t>
      </w:r>
      <w:r w:rsidR="005A3CD5" w:rsidRPr="00A41B9E">
        <w:rPr>
          <w:rFonts w:ascii="Garamond" w:hAnsi="Garamond"/>
          <w:sz w:val="24"/>
          <w:szCs w:val="24"/>
        </w:rPr>
        <w:t xml:space="preserve"> that female wages and employment in blue collar occupations improve but not in </w:t>
      </w:r>
      <w:r w:rsidR="00E2329E" w:rsidRPr="00A41B9E">
        <w:rPr>
          <w:rFonts w:ascii="Garamond" w:hAnsi="Garamond"/>
          <w:sz w:val="24"/>
          <w:szCs w:val="24"/>
        </w:rPr>
        <w:t xml:space="preserve">white </w:t>
      </w:r>
      <w:r w:rsidR="005A3CD5" w:rsidRPr="00A41B9E">
        <w:rPr>
          <w:rFonts w:ascii="Garamond" w:hAnsi="Garamond"/>
          <w:sz w:val="24"/>
          <w:szCs w:val="24"/>
        </w:rPr>
        <w:t>collar occupations.</w:t>
      </w:r>
      <w:r w:rsidR="005A3CD5">
        <w:rPr>
          <w:rFonts w:ascii="Garamond" w:hAnsi="Garamond"/>
          <w:sz w:val="24"/>
          <w:szCs w:val="24"/>
        </w:rPr>
        <w:t xml:space="preserve"> </w:t>
      </w:r>
      <w:r w:rsidR="00654EA5">
        <w:rPr>
          <w:rFonts w:ascii="Garamond" w:hAnsi="Garamond"/>
          <w:sz w:val="24"/>
          <w:szCs w:val="24"/>
        </w:rPr>
        <w:t xml:space="preserve">Neither of these papers </w:t>
      </w:r>
      <w:proofErr w:type="gramStart"/>
      <w:r w:rsidR="00C9740B">
        <w:rPr>
          <w:rFonts w:ascii="Garamond" w:hAnsi="Garamond"/>
          <w:sz w:val="24"/>
          <w:szCs w:val="24"/>
        </w:rPr>
        <w:t>study</w:t>
      </w:r>
      <w:proofErr w:type="gramEnd"/>
      <w:r w:rsidR="00654EA5">
        <w:rPr>
          <w:rFonts w:ascii="Garamond" w:hAnsi="Garamond"/>
          <w:sz w:val="24"/>
          <w:szCs w:val="24"/>
        </w:rPr>
        <w:t xml:space="preserve"> the effect of an exogenous shock to the sex ratio due to out-migration on female labor market outcomes.</w:t>
      </w:r>
    </w:p>
    <w:p w:rsidR="001916DE" w:rsidRDefault="00F71602" w:rsidP="0036448F">
      <w:pPr>
        <w:spacing w:line="480" w:lineRule="auto"/>
        <w:ind w:firstLine="720"/>
        <w:jc w:val="both"/>
        <w:rPr>
          <w:rFonts w:ascii="Garamond" w:hAnsi="Garamond"/>
          <w:sz w:val="24"/>
          <w:szCs w:val="24"/>
        </w:rPr>
      </w:pPr>
      <w:r w:rsidRPr="005877F4">
        <w:rPr>
          <w:rFonts w:ascii="Garamond" w:hAnsi="Garamond"/>
          <w:sz w:val="24"/>
          <w:szCs w:val="24"/>
        </w:rPr>
        <w:t>Mexican migrants are large</w:t>
      </w:r>
      <w:r w:rsidR="00E2329E" w:rsidRPr="005877F4">
        <w:rPr>
          <w:rFonts w:ascii="Garamond" w:hAnsi="Garamond"/>
          <w:sz w:val="24"/>
          <w:szCs w:val="24"/>
        </w:rPr>
        <w:t>ly</w:t>
      </w:r>
      <w:r w:rsidRPr="005877F4">
        <w:rPr>
          <w:rFonts w:ascii="Garamond" w:hAnsi="Garamond"/>
          <w:sz w:val="24"/>
          <w:szCs w:val="24"/>
        </w:rPr>
        <w:t xml:space="preserve"> drawn from </w:t>
      </w:r>
      <w:r w:rsidR="00601B41" w:rsidRPr="005877F4">
        <w:rPr>
          <w:rFonts w:ascii="Garamond" w:hAnsi="Garamond"/>
          <w:sz w:val="24"/>
          <w:szCs w:val="24"/>
        </w:rPr>
        <w:t xml:space="preserve">the middle of the Mexican wage distribution and are not necessarily negatively selected into migrating to the U.S. </w:t>
      </w:r>
      <w:proofErr w:type="spellStart"/>
      <w:r w:rsidR="005877F4" w:rsidRPr="005877F4">
        <w:rPr>
          <w:rFonts w:ascii="Garamond" w:hAnsi="Garamond"/>
          <w:sz w:val="24"/>
          <w:szCs w:val="24"/>
        </w:rPr>
        <w:t>Chiquiar</w:t>
      </w:r>
      <w:proofErr w:type="spellEnd"/>
      <w:r w:rsidR="005877F4" w:rsidRPr="005877F4">
        <w:rPr>
          <w:rFonts w:ascii="Garamond" w:hAnsi="Garamond"/>
          <w:sz w:val="24"/>
          <w:szCs w:val="24"/>
        </w:rPr>
        <w:t xml:space="preserve"> and Hansen </w:t>
      </w:r>
      <w:r w:rsidR="005877F4">
        <w:rPr>
          <w:rFonts w:ascii="Garamond" w:hAnsi="Garamond"/>
          <w:sz w:val="24"/>
          <w:szCs w:val="24"/>
        </w:rPr>
        <w:t>(</w:t>
      </w:r>
      <w:r w:rsidR="005877F4" w:rsidRPr="005877F4">
        <w:rPr>
          <w:rFonts w:ascii="Garamond" w:hAnsi="Garamond"/>
          <w:sz w:val="24"/>
          <w:szCs w:val="24"/>
        </w:rPr>
        <w:t>2005</w:t>
      </w:r>
      <w:r w:rsidR="005877F4">
        <w:rPr>
          <w:rFonts w:ascii="Garamond" w:hAnsi="Garamond"/>
          <w:sz w:val="24"/>
          <w:szCs w:val="24"/>
        </w:rPr>
        <w:t xml:space="preserve">) find that </w:t>
      </w:r>
      <w:r w:rsidR="00601B41" w:rsidRPr="005877F4">
        <w:rPr>
          <w:rFonts w:ascii="Garamond" w:hAnsi="Garamond"/>
          <w:sz w:val="24"/>
          <w:szCs w:val="24"/>
        </w:rPr>
        <w:t>migrants tend to be more educated than Mexicans that do not</w:t>
      </w:r>
      <w:r w:rsidR="005877F4">
        <w:rPr>
          <w:rFonts w:ascii="Garamond" w:hAnsi="Garamond"/>
          <w:sz w:val="24"/>
          <w:szCs w:val="24"/>
        </w:rPr>
        <w:t xml:space="preserve"> migrate</w:t>
      </w:r>
      <w:r w:rsidR="00601B41" w:rsidRPr="005877F4">
        <w:rPr>
          <w:rFonts w:ascii="Garamond" w:hAnsi="Garamond"/>
          <w:sz w:val="24"/>
          <w:szCs w:val="24"/>
        </w:rPr>
        <w:t>. Further, the migrants tend to be young, male, from rural areas</w:t>
      </w:r>
      <w:r w:rsidR="005877F4">
        <w:rPr>
          <w:rFonts w:ascii="Garamond" w:hAnsi="Garamond"/>
          <w:sz w:val="24"/>
          <w:szCs w:val="24"/>
        </w:rPr>
        <w:t>,</w:t>
      </w:r>
      <w:r w:rsidR="00601B41" w:rsidRPr="005877F4">
        <w:rPr>
          <w:rFonts w:ascii="Garamond" w:hAnsi="Garamond"/>
          <w:sz w:val="24"/>
          <w:szCs w:val="24"/>
        </w:rPr>
        <w:t xml:space="preserve"> and from the middle of the education distribution (</w:t>
      </w:r>
      <w:proofErr w:type="spellStart"/>
      <w:r w:rsidR="00601B41" w:rsidRPr="005877F4">
        <w:rPr>
          <w:rFonts w:ascii="Garamond" w:hAnsi="Garamond"/>
          <w:sz w:val="24"/>
          <w:szCs w:val="24"/>
        </w:rPr>
        <w:t>Kaestner</w:t>
      </w:r>
      <w:proofErr w:type="spellEnd"/>
      <w:r w:rsidR="00601B41" w:rsidRPr="005877F4">
        <w:rPr>
          <w:rFonts w:ascii="Garamond" w:hAnsi="Garamond"/>
          <w:sz w:val="24"/>
          <w:szCs w:val="24"/>
        </w:rPr>
        <w:t xml:space="preserve"> and Malamud</w:t>
      </w:r>
      <w:r w:rsidR="005113CF" w:rsidRPr="005877F4">
        <w:rPr>
          <w:rFonts w:ascii="Garamond" w:hAnsi="Garamond"/>
          <w:sz w:val="24"/>
          <w:szCs w:val="24"/>
        </w:rPr>
        <w:t xml:space="preserve"> 2014)</w:t>
      </w:r>
      <w:r w:rsidR="00C90725" w:rsidRPr="005877F4">
        <w:rPr>
          <w:rFonts w:ascii="Garamond" w:hAnsi="Garamond"/>
          <w:sz w:val="24"/>
          <w:szCs w:val="24"/>
        </w:rPr>
        <w:t>. Evidence on migration patterns of males and females finds that single adult men with low education levels migrate to the U.S. while internal Mexican migration is dominated by married women and men with higher levels of education (Aguayo-</w:t>
      </w:r>
      <w:proofErr w:type="spellStart"/>
      <w:r w:rsidR="00C90725" w:rsidRPr="005877F4">
        <w:rPr>
          <w:rFonts w:ascii="Garamond" w:hAnsi="Garamond"/>
          <w:sz w:val="24"/>
          <w:szCs w:val="24"/>
        </w:rPr>
        <w:t>T</w:t>
      </w:r>
      <w:r w:rsidR="007A79C9" w:rsidRPr="005877F4">
        <w:rPr>
          <w:rFonts w:ascii="Garamond" w:hAnsi="Garamond"/>
          <w:sz w:val="24"/>
          <w:szCs w:val="24"/>
        </w:rPr>
        <w:t>é</w:t>
      </w:r>
      <w:r w:rsidR="00C90725" w:rsidRPr="005877F4">
        <w:rPr>
          <w:rFonts w:ascii="Garamond" w:hAnsi="Garamond"/>
          <w:sz w:val="24"/>
          <w:szCs w:val="24"/>
        </w:rPr>
        <w:t>llez</w:t>
      </w:r>
      <w:proofErr w:type="spellEnd"/>
      <w:r w:rsidR="00C90725" w:rsidRPr="005877F4">
        <w:rPr>
          <w:rFonts w:ascii="Garamond" w:hAnsi="Garamond"/>
          <w:sz w:val="24"/>
          <w:szCs w:val="24"/>
        </w:rPr>
        <w:t xml:space="preserve">, </w:t>
      </w:r>
      <w:proofErr w:type="gramStart"/>
      <w:r w:rsidR="00C90725" w:rsidRPr="005877F4">
        <w:rPr>
          <w:rFonts w:ascii="Garamond" w:hAnsi="Garamond"/>
          <w:sz w:val="24"/>
          <w:szCs w:val="24"/>
        </w:rPr>
        <w:t>Ernesto  and</w:t>
      </w:r>
      <w:proofErr w:type="gramEnd"/>
      <w:r w:rsidR="00C90725" w:rsidRPr="005877F4">
        <w:rPr>
          <w:rFonts w:ascii="Garamond" w:hAnsi="Garamond"/>
          <w:sz w:val="24"/>
          <w:szCs w:val="24"/>
        </w:rPr>
        <w:t xml:space="preserve"> </w:t>
      </w:r>
      <w:proofErr w:type="spellStart"/>
      <w:r w:rsidR="00C90725" w:rsidRPr="005877F4">
        <w:rPr>
          <w:rFonts w:ascii="Garamond" w:hAnsi="Garamond"/>
          <w:sz w:val="24"/>
          <w:szCs w:val="24"/>
        </w:rPr>
        <w:t>Mart</w:t>
      </w:r>
      <w:r w:rsidR="007A79C9" w:rsidRPr="005877F4">
        <w:rPr>
          <w:rFonts w:ascii="Garamond" w:hAnsi="Garamond"/>
          <w:sz w:val="24"/>
          <w:szCs w:val="24"/>
        </w:rPr>
        <w:t>í</w:t>
      </w:r>
      <w:r w:rsidR="002067CA" w:rsidRPr="005877F4">
        <w:rPr>
          <w:rFonts w:ascii="Garamond" w:hAnsi="Garamond"/>
          <w:sz w:val="24"/>
          <w:szCs w:val="24"/>
        </w:rPr>
        <w:t>nez</w:t>
      </w:r>
      <w:proofErr w:type="spellEnd"/>
      <w:r w:rsidR="002067CA" w:rsidRPr="005877F4">
        <w:rPr>
          <w:rFonts w:ascii="Garamond" w:hAnsi="Garamond"/>
          <w:sz w:val="24"/>
          <w:szCs w:val="24"/>
        </w:rPr>
        <w:t>-Navarro</w:t>
      </w:r>
      <w:r w:rsidR="00C90725" w:rsidRPr="005877F4">
        <w:rPr>
          <w:rFonts w:ascii="Garamond" w:hAnsi="Garamond"/>
          <w:sz w:val="24"/>
          <w:szCs w:val="24"/>
        </w:rPr>
        <w:t xml:space="preserve"> 2013)</w:t>
      </w:r>
      <w:r w:rsidR="005877F4" w:rsidRPr="005877F4">
        <w:rPr>
          <w:rFonts w:ascii="Garamond" w:hAnsi="Garamond"/>
          <w:sz w:val="24"/>
          <w:szCs w:val="24"/>
        </w:rPr>
        <w:t xml:space="preserve">. </w:t>
      </w:r>
      <w:r w:rsidR="0032133B" w:rsidRPr="005877F4">
        <w:rPr>
          <w:rFonts w:ascii="Garamond" w:hAnsi="Garamond"/>
          <w:sz w:val="24"/>
          <w:szCs w:val="24"/>
        </w:rPr>
        <w:t>In terms of effects of migration on the labor market in Mexico</w:t>
      </w:r>
      <w:r w:rsidR="005877F4" w:rsidRPr="005877F4">
        <w:rPr>
          <w:rFonts w:ascii="Garamond" w:hAnsi="Garamond"/>
          <w:sz w:val="24"/>
          <w:szCs w:val="24"/>
        </w:rPr>
        <w:t>,</w:t>
      </w:r>
      <w:r w:rsidR="0032133B" w:rsidRPr="005877F4">
        <w:rPr>
          <w:rFonts w:ascii="Garamond" w:hAnsi="Garamond"/>
          <w:sz w:val="24"/>
          <w:szCs w:val="24"/>
        </w:rPr>
        <w:t xml:space="preserve"> </w:t>
      </w:r>
      <w:r w:rsidRPr="005877F4">
        <w:rPr>
          <w:rFonts w:ascii="Garamond" w:hAnsi="Garamond"/>
          <w:sz w:val="24"/>
          <w:szCs w:val="24"/>
        </w:rPr>
        <w:t>Mishra</w:t>
      </w:r>
      <w:r w:rsidR="0032133B" w:rsidRPr="005877F4">
        <w:rPr>
          <w:rFonts w:ascii="Garamond" w:hAnsi="Garamond"/>
          <w:sz w:val="24"/>
          <w:szCs w:val="24"/>
        </w:rPr>
        <w:t xml:space="preserve"> (2007) finds positive </w:t>
      </w:r>
      <w:r w:rsidR="00D075E0" w:rsidRPr="005877F4">
        <w:rPr>
          <w:rFonts w:ascii="Garamond" w:hAnsi="Garamond"/>
          <w:sz w:val="24"/>
          <w:szCs w:val="24"/>
        </w:rPr>
        <w:t xml:space="preserve">effects of Mexican migration </w:t>
      </w:r>
      <w:r w:rsidR="0032133B" w:rsidRPr="005877F4">
        <w:rPr>
          <w:rFonts w:ascii="Garamond" w:hAnsi="Garamond"/>
          <w:sz w:val="24"/>
          <w:szCs w:val="24"/>
        </w:rPr>
        <w:t xml:space="preserve">on the wages of a specific skill group in Mexico. </w:t>
      </w:r>
      <w:r w:rsidRPr="005877F4">
        <w:rPr>
          <w:rFonts w:ascii="Garamond" w:hAnsi="Garamond"/>
          <w:sz w:val="24"/>
          <w:szCs w:val="24"/>
        </w:rPr>
        <w:lastRenderedPageBreak/>
        <w:t xml:space="preserve">Migration might be due </w:t>
      </w:r>
      <w:r w:rsidR="00626000" w:rsidRPr="005877F4">
        <w:rPr>
          <w:rFonts w:ascii="Garamond" w:hAnsi="Garamond"/>
          <w:sz w:val="24"/>
          <w:szCs w:val="24"/>
        </w:rPr>
        <w:t xml:space="preserve">to </w:t>
      </w:r>
      <w:r w:rsidRPr="005877F4">
        <w:rPr>
          <w:rFonts w:ascii="Garamond" w:hAnsi="Garamond"/>
          <w:sz w:val="24"/>
          <w:szCs w:val="24"/>
        </w:rPr>
        <w:t xml:space="preserve">labor demand conditions in the Mexican states, but </w:t>
      </w:r>
      <w:r w:rsidR="005877F4">
        <w:rPr>
          <w:rFonts w:ascii="Garamond" w:hAnsi="Garamond"/>
          <w:sz w:val="24"/>
          <w:szCs w:val="24"/>
        </w:rPr>
        <w:t>it also depends on</w:t>
      </w:r>
      <w:r w:rsidR="00626000" w:rsidRPr="005877F4">
        <w:rPr>
          <w:rFonts w:ascii="Garamond" w:hAnsi="Garamond"/>
          <w:sz w:val="24"/>
          <w:szCs w:val="24"/>
        </w:rPr>
        <w:t xml:space="preserve"> </w:t>
      </w:r>
      <w:r w:rsidRPr="005877F4">
        <w:rPr>
          <w:rFonts w:ascii="Garamond" w:hAnsi="Garamond"/>
          <w:sz w:val="24"/>
          <w:szCs w:val="24"/>
        </w:rPr>
        <w:t xml:space="preserve">labor demand conditions in the U.S. states where the migrants </w:t>
      </w:r>
      <w:r w:rsidR="005877F4">
        <w:rPr>
          <w:rFonts w:ascii="Garamond" w:hAnsi="Garamond"/>
          <w:sz w:val="24"/>
          <w:szCs w:val="24"/>
        </w:rPr>
        <w:t>go</w:t>
      </w:r>
      <w:r w:rsidRPr="005877F4">
        <w:rPr>
          <w:rFonts w:ascii="Garamond" w:hAnsi="Garamond"/>
          <w:sz w:val="24"/>
          <w:szCs w:val="24"/>
        </w:rPr>
        <w:t xml:space="preserve"> to.</w:t>
      </w:r>
      <w:r>
        <w:rPr>
          <w:rFonts w:ascii="Garamond" w:hAnsi="Garamond"/>
          <w:sz w:val="24"/>
          <w:szCs w:val="24"/>
        </w:rPr>
        <w:t xml:space="preserve"> </w:t>
      </w:r>
    </w:p>
    <w:p w:rsidR="001916DE" w:rsidRPr="0036448F" w:rsidRDefault="002C2A3F" w:rsidP="00547EF3">
      <w:pPr>
        <w:numPr>
          <w:ilvl w:val="0"/>
          <w:numId w:val="1"/>
        </w:numPr>
        <w:spacing w:after="0" w:line="480" w:lineRule="auto"/>
        <w:rPr>
          <w:rFonts w:ascii="Garamond" w:hAnsi="Garamond"/>
          <w:b/>
          <w:sz w:val="24"/>
          <w:szCs w:val="24"/>
        </w:rPr>
      </w:pPr>
      <w:r>
        <w:rPr>
          <w:rFonts w:ascii="Garamond" w:hAnsi="Garamond"/>
          <w:b/>
          <w:sz w:val="24"/>
          <w:szCs w:val="24"/>
        </w:rPr>
        <w:t>Sex</w:t>
      </w:r>
      <w:r w:rsidR="00547EF3">
        <w:rPr>
          <w:rFonts w:ascii="Garamond" w:hAnsi="Garamond"/>
          <w:b/>
          <w:sz w:val="24"/>
          <w:szCs w:val="24"/>
        </w:rPr>
        <w:t xml:space="preserve"> Ratios and Migration</w:t>
      </w:r>
    </w:p>
    <w:p w:rsidR="00547EF3" w:rsidRPr="00547EF3" w:rsidRDefault="00547EF3" w:rsidP="00547EF3">
      <w:pPr>
        <w:numPr>
          <w:ilvl w:val="1"/>
          <w:numId w:val="1"/>
        </w:numPr>
        <w:spacing w:after="0" w:line="480" w:lineRule="auto"/>
        <w:rPr>
          <w:rFonts w:ascii="Garamond" w:hAnsi="Garamond"/>
          <w:b/>
          <w:sz w:val="24"/>
          <w:szCs w:val="24"/>
        </w:rPr>
      </w:pPr>
      <w:r w:rsidRPr="00547EF3">
        <w:rPr>
          <w:rFonts w:ascii="Garamond" w:hAnsi="Garamond"/>
          <w:b/>
          <w:sz w:val="24"/>
          <w:szCs w:val="24"/>
        </w:rPr>
        <w:t>Data</w:t>
      </w:r>
      <w:r w:rsidR="00B761DF">
        <w:rPr>
          <w:rFonts w:ascii="Garamond" w:hAnsi="Garamond"/>
          <w:b/>
          <w:sz w:val="24"/>
          <w:szCs w:val="24"/>
        </w:rPr>
        <w:t xml:space="preserve"> and Descriptive Statistics</w:t>
      </w:r>
      <w:r>
        <w:rPr>
          <w:rFonts w:ascii="Garamond" w:hAnsi="Garamond"/>
          <w:b/>
          <w:sz w:val="24"/>
          <w:szCs w:val="24"/>
        </w:rPr>
        <w:t xml:space="preserve"> </w:t>
      </w:r>
      <w:r w:rsidRPr="00547EF3">
        <w:rPr>
          <w:rFonts w:ascii="Garamond" w:hAnsi="Garamond"/>
          <w:b/>
          <w:sz w:val="24"/>
          <w:szCs w:val="24"/>
        </w:rPr>
        <w:t xml:space="preserve"> </w:t>
      </w:r>
    </w:p>
    <w:p w:rsidR="008F654E" w:rsidRDefault="00965BCB" w:rsidP="00547EF3">
      <w:pPr>
        <w:spacing w:after="0" w:line="480" w:lineRule="auto"/>
        <w:rPr>
          <w:rFonts w:ascii="Garamond" w:hAnsi="Garamond"/>
          <w:sz w:val="24"/>
          <w:szCs w:val="24"/>
        </w:rPr>
      </w:pPr>
      <w:r>
        <w:rPr>
          <w:rFonts w:ascii="Garamond" w:hAnsi="Garamond"/>
          <w:sz w:val="24"/>
          <w:szCs w:val="24"/>
        </w:rPr>
        <w:t>To</w:t>
      </w:r>
      <w:r w:rsidR="002C2A3F">
        <w:rPr>
          <w:rFonts w:ascii="Garamond" w:hAnsi="Garamond"/>
          <w:sz w:val="24"/>
          <w:szCs w:val="24"/>
        </w:rPr>
        <w:t xml:space="preserve"> examine the evolution of sex</w:t>
      </w:r>
      <w:r>
        <w:rPr>
          <w:rFonts w:ascii="Garamond" w:hAnsi="Garamond"/>
          <w:sz w:val="24"/>
          <w:szCs w:val="24"/>
        </w:rPr>
        <w:t xml:space="preserve"> ratios we</w:t>
      </w:r>
      <w:r w:rsidR="00F84CD3">
        <w:rPr>
          <w:rFonts w:ascii="Garamond" w:hAnsi="Garamond"/>
          <w:sz w:val="24"/>
          <w:szCs w:val="24"/>
        </w:rPr>
        <w:t xml:space="preserve"> use da</w:t>
      </w:r>
      <w:r w:rsidR="00E500AB">
        <w:rPr>
          <w:rFonts w:ascii="Garamond" w:hAnsi="Garamond"/>
          <w:sz w:val="24"/>
          <w:szCs w:val="24"/>
        </w:rPr>
        <w:t>ta from the 1960, 1970, 1990,</w:t>
      </w:r>
      <w:r w:rsidR="00F84CD3">
        <w:rPr>
          <w:rFonts w:ascii="Garamond" w:hAnsi="Garamond"/>
          <w:sz w:val="24"/>
          <w:szCs w:val="24"/>
        </w:rPr>
        <w:t xml:space="preserve"> 2000</w:t>
      </w:r>
      <w:r w:rsidR="00E500AB">
        <w:rPr>
          <w:rFonts w:ascii="Garamond" w:hAnsi="Garamond"/>
          <w:sz w:val="24"/>
          <w:szCs w:val="24"/>
        </w:rPr>
        <w:t xml:space="preserve"> and 2010</w:t>
      </w:r>
      <w:r w:rsidR="00F84CD3">
        <w:rPr>
          <w:rFonts w:ascii="Garamond" w:hAnsi="Garamond"/>
          <w:sz w:val="24"/>
          <w:szCs w:val="24"/>
        </w:rPr>
        <w:t xml:space="preserve"> Mexican Census</w:t>
      </w:r>
      <w:r w:rsidR="00942BFA">
        <w:rPr>
          <w:rFonts w:ascii="Garamond" w:hAnsi="Garamond"/>
          <w:sz w:val="24"/>
          <w:szCs w:val="24"/>
        </w:rPr>
        <w:t>, accessed through the IPUMS International webpage (maintained by the University of Minnesota)</w:t>
      </w:r>
      <w:r w:rsidR="00F84CD3">
        <w:rPr>
          <w:rFonts w:ascii="Garamond" w:hAnsi="Garamond"/>
          <w:sz w:val="24"/>
          <w:szCs w:val="24"/>
        </w:rPr>
        <w:t xml:space="preserve">. </w:t>
      </w:r>
      <w:r w:rsidR="00E500AB">
        <w:rPr>
          <w:rFonts w:ascii="Garamond" w:hAnsi="Garamond"/>
          <w:sz w:val="24"/>
          <w:szCs w:val="24"/>
        </w:rPr>
        <w:t xml:space="preserve"> </w:t>
      </w:r>
      <w:r w:rsidR="00973ED0">
        <w:rPr>
          <w:rFonts w:ascii="Garamond" w:hAnsi="Garamond"/>
          <w:sz w:val="24"/>
          <w:szCs w:val="24"/>
        </w:rPr>
        <w:t>The 1980 Census data are not available due to a fire which destr</w:t>
      </w:r>
      <w:r w:rsidR="00887B9B">
        <w:rPr>
          <w:rFonts w:ascii="Garamond" w:hAnsi="Garamond"/>
          <w:sz w:val="24"/>
          <w:szCs w:val="24"/>
        </w:rPr>
        <w:t>oyed many of the records</w:t>
      </w:r>
      <w:r w:rsidR="00973ED0">
        <w:rPr>
          <w:rFonts w:ascii="Garamond" w:hAnsi="Garamond"/>
          <w:sz w:val="24"/>
          <w:szCs w:val="24"/>
        </w:rPr>
        <w:t xml:space="preserve">.  </w:t>
      </w:r>
      <w:r w:rsidR="00BC76F8">
        <w:rPr>
          <w:rFonts w:ascii="Garamond" w:hAnsi="Garamond"/>
          <w:sz w:val="24"/>
          <w:szCs w:val="24"/>
        </w:rPr>
        <w:t xml:space="preserve">For each census year we calculate 8 year age cohorts by state, </w:t>
      </w:r>
      <w:r w:rsidR="005A3C20">
        <w:rPr>
          <w:rFonts w:ascii="Garamond" w:hAnsi="Garamond"/>
          <w:sz w:val="24"/>
          <w:szCs w:val="24"/>
        </w:rPr>
        <w:t>focusing on the</w:t>
      </w:r>
      <w:r w:rsidR="00BC76F8">
        <w:rPr>
          <w:rFonts w:ascii="Garamond" w:hAnsi="Garamond"/>
          <w:sz w:val="24"/>
          <w:szCs w:val="24"/>
        </w:rPr>
        <w:t xml:space="preserve"> years in which women are </w:t>
      </w:r>
      <w:r w:rsidR="005A3C20">
        <w:rPr>
          <w:rFonts w:ascii="Garamond" w:hAnsi="Garamond"/>
          <w:sz w:val="24"/>
          <w:szCs w:val="24"/>
        </w:rPr>
        <w:t xml:space="preserve">most </w:t>
      </w:r>
      <w:r w:rsidR="00BC76F8">
        <w:rPr>
          <w:rFonts w:ascii="Garamond" w:hAnsi="Garamond"/>
          <w:sz w:val="24"/>
          <w:szCs w:val="24"/>
        </w:rPr>
        <w:t>active in the lab</w:t>
      </w:r>
      <w:r w:rsidR="008F654E">
        <w:rPr>
          <w:rFonts w:ascii="Garamond" w:hAnsi="Garamond"/>
          <w:sz w:val="24"/>
          <w:szCs w:val="24"/>
        </w:rPr>
        <w:t>or force</w:t>
      </w:r>
      <w:r w:rsidR="00887B9B">
        <w:rPr>
          <w:rFonts w:ascii="Garamond" w:hAnsi="Garamond"/>
          <w:sz w:val="24"/>
          <w:szCs w:val="24"/>
        </w:rPr>
        <w:t xml:space="preserve"> (18-57)</w:t>
      </w:r>
      <w:r w:rsidR="00241FE4">
        <w:rPr>
          <w:rFonts w:ascii="Garamond" w:hAnsi="Garamond"/>
          <w:sz w:val="24"/>
          <w:szCs w:val="24"/>
        </w:rPr>
        <w:t xml:space="preserve">.  </w:t>
      </w:r>
      <w:r w:rsidR="008F654E">
        <w:rPr>
          <w:rFonts w:ascii="Garamond" w:hAnsi="Garamond"/>
          <w:sz w:val="24"/>
          <w:szCs w:val="24"/>
        </w:rPr>
        <w:t>We have five</w:t>
      </w:r>
      <w:r w:rsidR="00BC76F8">
        <w:rPr>
          <w:rFonts w:ascii="Garamond" w:hAnsi="Garamond"/>
          <w:sz w:val="24"/>
          <w:szCs w:val="24"/>
        </w:rPr>
        <w:t xml:space="preserve"> cohorts in total—two young</w:t>
      </w:r>
      <w:r w:rsidR="003429C2">
        <w:rPr>
          <w:rFonts w:ascii="Garamond" w:hAnsi="Garamond"/>
          <w:sz w:val="24"/>
          <w:szCs w:val="24"/>
        </w:rPr>
        <w:t>er</w:t>
      </w:r>
      <w:r w:rsidR="008F654E">
        <w:rPr>
          <w:rFonts w:ascii="Garamond" w:hAnsi="Garamond"/>
          <w:sz w:val="24"/>
          <w:szCs w:val="24"/>
        </w:rPr>
        <w:t xml:space="preserve"> cohorts, 18-25, 26-33—and three</w:t>
      </w:r>
      <w:r w:rsidR="00BC76F8">
        <w:rPr>
          <w:rFonts w:ascii="Garamond" w:hAnsi="Garamond"/>
          <w:sz w:val="24"/>
          <w:szCs w:val="24"/>
        </w:rPr>
        <w:t xml:space="preserve"> old</w:t>
      </w:r>
      <w:r w:rsidR="003429C2">
        <w:rPr>
          <w:rFonts w:ascii="Garamond" w:hAnsi="Garamond"/>
          <w:sz w:val="24"/>
          <w:szCs w:val="24"/>
        </w:rPr>
        <w:t>er</w:t>
      </w:r>
      <w:r w:rsidR="00BC76F8">
        <w:rPr>
          <w:rFonts w:ascii="Garamond" w:hAnsi="Garamond"/>
          <w:sz w:val="24"/>
          <w:szCs w:val="24"/>
        </w:rPr>
        <w:t xml:space="preserve"> cohorts, 34-41, 42-49</w:t>
      </w:r>
      <w:r w:rsidR="008F654E">
        <w:rPr>
          <w:rFonts w:ascii="Garamond" w:hAnsi="Garamond"/>
          <w:sz w:val="24"/>
          <w:szCs w:val="24"/>
        </w:rPr>
        <w:t>, 50-57</w:t>
      </w:r>
      <w:r w:rsidR="00BC76F8">
        <w:rPr>
          <w:rFonts w:ascii="Garamond" w:hAnsi="Garamond"/>
          <w:sz w:val="24"/>
          <w:szCs w:val="24"/>
        </w:rPr>
        <w:t>.  Together</w:t>
      </w:r>
      <w:r w:rsidR="009F139C">
        <w:rPr>
          <w:rFonts w:ascii="Garamond" w:hAnsi="Garamond"/>
          <w:sz w:val="24"/>
          <w:szCs w:val="24"/>
        </w:rPr>
        <w:t xml:space="preserve"> </w:t>
      </w:r>
      <w:r w:rsidR="00BC76F8">
        <w:rPr>
          <w:rFonts w:ascii="Garamond" w:hAnsi="Garamond"/>
          <w:sz w:val="24"/>
          <w:szCs w:val="24"/>
        </w:rPr>
        <w:t xml:space="preserve">this </w:t>
      </w:r>
      <w:r w:rsidR="009F139C">
        <w:rPr>
          <w:rFonts w:ascii="Garamond" w:hAnsi="Garamond"/>
          <w:sz w:val="24"/>
          <w:szCs w:val="24"/>
        </w:rPr>
        <w:t xml:space="preserve">yields </w:t>
      </w:r>
      <w:r w:rsidR="008F654E">
        <w:rPr>
          <w:rFonts w:ascii="Garamond" w:hAnsi="Garamond"/>
          <w:sz w:val="24"/>
          <w:szCs w:val="24"/>
        </w:rPr>
        <w:t>a total of 775</w:t>
      </w:r>
      <w:r w:rsidR="009F139C">
        <w:rPr>
          <w:rFonts w:ascii="Garamond" w:hAnsi="Garamond"/>
          <w:sz w:val="24"/>
          <w:szCs w:val="24"/>
        </w:rPr>
        <w:t xml:space="preserve"> c</w:t>
      </w:r>
      <w:r w:rsidR="00BC76F8">
        <w:rPr>
          <w:rFonts w:ascii="Garamond" w:hAnsi="Garamond"/>
          <w:sz w:val="24"/>
          <w:szCs w:val="24"/>
        </w:rPr>
        <w:t>ohort-state-year combinations</w:t>
      </w:r>
      <w:r w:rsidR="009F139C">
        <w:rPr>
          <w:rFonts w:ascii="Garamond" w:hAnsi="Garamond"/>
          <w:sz w:val="24"/>
          <w:szCs w:val="24"/>
        </w:rPr>
        <w:t>.</w:t>
      </w:r>
      <w:r w:rsidR="004F3432">
        <w:rPr>
          <w:rStyle w:val="FootnoteReference"/>
          <w:rFonts w:ascii="Garamond" w:hAnsi="Garamond"/>
          <w:sz w:val="24"/>
          <w:szCs w:val="24"/>
        </w:rPr>
        <w:footnoteReference w:id="5"/>
      </w:r>
      <w:r w:rsidR="009F139C">
        <w:rPr>
          <w:rFonts w:ascii="Garamond" w:hAnsi="Garamond"/>
          <w:sz w:val="24"/>
          <w:szCs w:val="24"/>
        </w:rPr>
        <w:t xml:space="preserve">  </w:t>
      </w:r>
    </w:p>
    <w:p w:rsidR="005C1212" w:rsidRDefault="00965BCB" w:rsidP="003F1F54">
      <w:pPr>
        <w:spacing w:after="0" w:line="480" w:lineRule="auto"/>
        <w:ind w:firstLine="432"/>
        <w:rPr>
          <w:rFonts w:ascii="Garamond" w:hAnsi="Garamond"/>
          <w:sz w:val="24"/>
          <w:szCs w:val="24"/>
        </w:rPr>
      </w:pPr>
      <w:r>
        <w:rPr>
          <w:rFonts w:ascii="Garamond" w:hAnsi="Garamond"/>
          <w:sz w:val="24"/>
          <w:szCs w:val="24"/>
        </w:rPr>
        <w:t>Figure</w:t>
      </w:r>
      <w:r w:rsidR="002C2A3F">
        <w:rPr>
          <w:rFonts w:ascii="Garamond" w:hAnsi="Garamond"/>
          <w:sz w:val="24"/>
          <w:szCs w:val="24"/>
        </w:rPr>
        <w:t xml:space="preserve"> 1 shows the average sex</w:t>
      </w:r>
      <w:r>
        <w:rPr>
          <w:rFonts w:ascii="Garamond" w:hAnsi="Garamond"/>
          <w:sz w:val="24"/>
          <w:szCs w:val="24"/>
        </w:rPr>
        <w:t xml:space="preserve"> ratios</w:t>
      </w:r>
      <w:r w:rsidR="003F1F54">
        <w:rPr>
          <w:rFonts w:ascii="Garamond" w:hAnsi="Garamond"/>
          <w:sz w:val="24"/>
          <w:szCs w:val="24"/>
        </w:rPr>
        <w:t xml:space="preserve"> in Mexico</w:t>
      </w:r>
      <w:r>
        <w:rPr>
          <w:rFonts w:ascii="Garamond" w:hAnsi="Garamond"/>
          <w:sz w:val="24"/>
          <w:szCs w:val="24"/>
        </w:rPr>
        <w:t xml:space="preserve"> for each of the census years. </w:t>
      </w:r>
      <w:r w:rsidR="00FC67A7">
        <w:rPr>
          <w:rFonts w:ascii="Garamond" w:hAnsi="Garamond"/>
          <w:sz w:val="24"/>
          <w:szCs w:val="24"/>
        </w:rPr>
        <w:t xml:space="preserve"> </w:t>
      </w:r>
      <w:r>
        <w:rPr>
          <w:rFonts w:ascii="Garamond" w:hAnsi="Garamond"/>
          <w:sz w:val="24"/>
          <w:szCs w:val="24"/>
        </w:rPr>
        <w:t>The figure</w:t>
      </w:r>
      <w:r w:rsidR="005F287E">
        <w:rPr>
          <w:rFonts w:ascii="Garamond" w:hAnsi="Garamond"/>
          <w:sz w:val="24"/>
          <w:szCs w:val="24"/>
        </w:rPr>
        <w:t xml:space="preserve"> </w:t>
      </w:r>
      <w:r w:rsidR="00BC76F8">
        <w:rPr>
          <w:rFonts w:ascii="Garamond" w:hAnsi="Garamond"/>
          <w:sz w:val="24"/>
          <w:szCs w:val="24"/>
        </w:rPr>
        <w:t>show</w:t>
      </w:r>
      <w:r>
        <w:rPr>
          <w:rFonts w:ascii="Garamond" w:hAnsi="Garamond"/>
          <w:sz w:val="24"/>
          <w:szCs w:val="24"/>
        </w:rPr>
        <w:t>s</w:t>
      </w:r>
      <w:r w:rsidR="00BC76F8">
        <w:rPr>
          <w:rFonts w:ascii="Garamond" w:hAnsi="Garamond"/>
          <w:sz w:val="24"/>
          <w:szCs w:val="24"/>
        </w:rPr>
        <w:t xml:space="preserve"> that </w:t>
      </w:r>
      <w:r w:rsidR="005F287E">
        <w:rPr>
          <w:rFonts w:ascii="Garamond" w:hAnsi="Garamond"/>
          <w:sz w:val="24"/>
          <w:szCs w:val="24"/>
        </w:rPr>
        <w:t>simil</w:t>
      </w:r>
      <w:r w:rsidR="002C2A3F">
        <w:rPr>
          <w:rFonts w:ascii="Garamond" w:hAnsi="Garamond"/>
          <w:sz w:val="24"/>
          <w:szCs w:val="24"/>
        </w:rPr>
        <w:t>ar to most countries, the sex</w:t>
      </w:r>
      <w:r w:rsidR="005F287E">
        <w:rPr>
          <w:rFonts w:ascii="Garamond" w:hAnsi="Garamond"/>
          <w:sz w:val="24"/>
          <w:szCs w:val="24"/>
        </w:rPr>
        <w:t xml:space="preserve"> ratio for younger cohorts (</w:t>
      </w:r>
      <w:r w:rsidR="005F287E" w:rsidRPr="004F3432">
        <w:rPr>
          <w:rFonts w:ascii="Garamond" w:hAnsi="Garamond"/>
          <w:sz w:val="24"/>
          <w:szCs w:val="24"/>
        </w:rPr>
        <w:t>ages 0 to</w:t>
      </w:r>
      <w:r w:rsidR="003F1F54" w:rsidRPr="004F3432">
        <w:rPr>
          <w:rFonts w:ascii="Garamond" w:hAnsi="Garamond"/>
          <w:sz w:val="24"/>
          <w:szCs w:val="24"/>
        </w:rPr>
        <w:t xml:space="preserve"> 9</w:t>
      </w:r>
      <w:r w:rsidR="005F287E" w:rsidRPr="004F3432">
        <w:rPr>
          <w:rFonts w:ascii="Garamond" w:hAnsi="Garamond"/>
          <w:sz w:val="24"/>
          <w:szCs w:val="24"/>
        </w:rPr>
        <w:t xml:space="preserve">) is well over one, reflecting the </w:t>
      </w:r>
      <w:r w:rsidR="00C9772E">
        <w:rPr>
          <w:rFonts w:ascii="Garamond" w:hAnsi="Garamond"/>
          <w:sz w:val="24"/>
          <w:szCs w:val="24"/>
        </w:rPr>
        <w:t xml:space="preserve">slightly </w:t>
      </w:r>
      <w:r w:rsidR="005F287E" w:rsidRPr="004F3432">
        <w:rPr>
          <w:rFonts w:ascii="Garamond" w:hAnsi="Garamond"/>
          <w:sz w:val="24"/>
          <w:szCs w:val="24"/>
        </w:rPr>
        <w:t>higher natural number of male</w:t>
      </w:r>
      <w:r w:rsidR="000B405E" w:rsidRPr="004F3432">
        <w:rPr>
          <w:rFonts w:ascii="Garamond" w:hAnsi="Garamond"/>
          <w:sz w:val="24"/>
          <w:szCs w:val="24"/>
        </w:rPr>
        <w:t xml:space="preserve"> </w:t>
      </w:r>
      <w:r w:rsidR="005C1212" w:rsidRPr="004F3432">
        <w:rPr>
          <w:rFonts w:ascii="Garamond" w:hAnsi="Garamond"/>
          <w:sz w:val="24"/>
          <w:szCs w:val="24"/>
        </w:rPr>
        <w:t>births.  T</w:t>
      </w:r>
      <w:r w:rsidR="002C2A3F" w:rsidRPr="004F3432">
        <w:rPr>
          <w:rFonts w:ascii="Garamond" w:hAnsi="Garamond"/>
          <w:sz w:val="24"/>
          <w:szCs w:val="24"/>
        </w:rPr>
        <w:t>he sex</w:t>
      </w:r>
      <w:r w:rsidR="001F73E5" w:rsidRPr="004F3432">
        <w:rPr>
          <w:rFonts w:ascii="Garamond" w:hAnsi="Garamond"/>
          <w:sz w:val="24"/>
          <w:szCs w:val="24"/>
        </w:rPr>
        <w:t xml:space="preserve"> ratio</w:t>
      </w:r>
      <w:r w:rsidR="00BC76F8" w:rsidRPr="004F3432">
        <w:rPr>
          <w:rFonts w:ascii="Garamond" w:hAnsi="Garamond"/>
          <w:sz w:val="24"/>
          <w:szCs w:val="24"/>
        </w:rPr>
        <w:t xml:space="preserve"> declines sharply</w:t>
      </w:r>
      <w:r w:rsidR="003F1F54" w:rsidRPr="004F3432">
        <w:rPr>
          <w:rFonts w:ascii="Garamond" w:hAnsi="Garamond"/>
          <w:sz w:val="24"/>
          <w:szCs w:val="24"/>
        </w:rPr>
        <w:t xml:space="preserve"> starting in the 18 to 25 cohort, </w:t>
      </w:r>
      <w:r w:rsidR="00626000" w:rsidRPr="004F3432">
        <w:rPr>
          <w:rFonts w:ascii="Garamond" w:hAnsi="Garamond"/>
          <w:sz w:val="24"/>
          <w:szCs w:val="24"/>
        </w:rPr>
        <w:t xml:space="preserve">where the ratio is </w:t>
      </w:r>
      <w:r w:rsidR="007F4301" w:rsidRPr="004F3432">
        <w:rPr>
          <w:rFonts w:ascii="Garamond" w:hAnsi="Garamond"/>
          <w:sz w:val="24"/>
          <w:szCs w:val="24"/>
        </w:rPr>
        <w:t>well below one</w:t>
      </w:r>
      <w:r w:rsidR="003F1F54" w:rsidRPr="004F3432">
        <w:rPr>
          <w:rFonts w:ascii="Garamond" w:hAnsi="Garamond"/>
          <w:sz w:val="24"/>
          <w:szCs w:val="24"/>
        </w:rPr>
        <w:t xml:space="preserve"> for all years, and remain</w:t>
      </w:r>
      <w:r w:rsidR="0081377D">
        <w:rPr>
          <w:rFonts w:ascii="Garamond" w:hAnsi="Garamond"/>
          <w:sz w:val="24"/>
          <w:szCs w:val="24"/>
        </w:rPr>
        <w:t>s</w:t>
      </w:r>
      <w:r w:rsidR="003F1F54" w:rsidRPr="004F3432">
        <w:rPr>
          <w:rFonts w:ascii="Garamond" w:hAnsi="Garamond"/>
          <w:sz w:val="24"/>
          <w:szCs w:val="24"/>
        </w:rPr>
        <w:t xml:space="preserve"> below one </w:t>
      </w:r>
      <w:r w:rsidR="004F3432" w:rsidRPr="004F3432">
        <w:rPr>
          <w:rFonts w:ascii="Garamond" w:hAnsi="Garamond"/>
          <w:sz w:val="24"/>
          <w:szCs w:val="24"/>
        </w:rPr>
        <w:t>until</w:t>
      </w:r>
      <w:r w:rsidR="00626000" w:rsidRPr="004F3432">
        <w:rPr>
          <w:rFonts w:ascii="Garamond" w:hAnsi="Garamond"/>
          <w:sz w:val="24"/>
          <w:szCs w:val="24"/>
        </w:rPr>
        <w:t xml:space="preserve"> </w:t>
      </w:r>
      <w:r w:rsidR="003F1F54" w:rsidRPr="004F3432">
        <w:rPr>
          <w:rFonts w:ascii="Garamond" w:hAnsi="Garamond"/>
          <w:sz w:val="24"/>
          <w:szCs w:val="24"/>
        </w:rPr>
        <w:t>the 34 to 41 age coho</w:t>
      </w:r>
      <w:r w:rsidR="00AD18FA" w:rsidRPr="004F3432">
        <w:rPr>
          <w:rFonts w:ascii="Garamond" w:hAnsi="Garamond"/>
          <w:sz w:val="24"/>
          <w:szCs w:val="24"/>
        </w:rPr>
        <w:t>rt.  In 1960 and 1970 the sex</w:t>
      </w:r>
      <w:r w:rsidR="003F1F54" w:rsidRPr="004F3432">
        <w:rPr>
          <w:rFonts w:ascii="Garamond" w:hAnsi="Garamond"/>
          <w:sz w:val="24"/>
          <w:szCs w:val="24"/>
        </w:rPr>
        <w:t xml:space="preserve"> ratios then recover, moving back above one for the 42 to 65 year age group.  For 1990, 20</w:t>
      </w:r>
      <w:r w:rsidR="00AD18FA" w:rsidRPr="004F3432">
        <w:rPr>
          <w:rFonts w:ascii="Garamond" w:hAnsi="Garamond"/>
          <w:sz w:val="24"/>
          <w:szCs w:val="24"/>
        </w:rPr>
        <w:t>00 and 2010, however, the sex</w:t>
      </w:r>
      <w:r w:rsidR="003F1F54" w:rsidRPr="004F3432">
        <w:rPr>
          <w:rFonts w:ascii="Garamond" w:hAnsi="Garamond"/>
          <w:sz w:val="24"/>
          <w:szCs w:val="24"/>
        </w:rPr>
        <w:t xml:space="preserve"> ratio remains below one for all remaining age cohorts.  This highlights another feature of the graph, which is that</w:t>
      </w:r>
      <w:r w:rsidR="005C1212" w:rsidRPr="004F3432">
        <w:rPr>
          <w:rFonts w:ascii="Garamond" w:hAnsi="Garamond"/>
          <w:sz w:val="24"/>
          <w:szCs w:val="24"/>
        </w:rPr>
        <w:t xml:space="preserve"> </w:t>
      </w:r>
      <w:r w:rsidR="003F1F54" w:rsidRPr="004F3432">
        <w:rPr>
          <w:rFonts w:ascii="Garamond" w:hAnsi="Garamond"/>
          <w:sz w:val="24"/>
          <w:szCs w:val="24"/>
        </w:rPr>
        <w:t xml:space="preserve">the </w:t>
      </w:r>
      <w:r w:rsidR="00AD18FA" w:rsidRPr="004F3432">
        <w:rPr>
          <w:rFonts w:ascii="Garamond" w:hAnsi="Garamond"/>
          <w:sz w:val="24"/>
          <w:szCs w:val="24"/>
        </w:rPr>
        <w:t>declines in the sex</w:t>
      </w:r>
      <w:r w:rsidR="005C1212" w:rsidRPr="004F3432">
        <w:rPr>
          <w:rFonts w:ascii="Garamond" w:hAnsi="Garamond"/>
          <w:sz w:val="24"/>
          <w:szCs w:val="24"/>
        </w:rPr>
        <w:t xml:space="preserve"> ratio are more acute in </w:t>
      </w:r>
      <w:r w:rsidR="00C50DB6">
        <w:rPr>
          <w:rFonts w:ascii="Garamond" w:hAnsi="Garamond"/>
          <w:sz w:val="24"/>
          <w:szCs w:val="24"/>
        </w:rPr>
        <w:t>the later years (</w:t>
      </w:r>
      <w:r w:rsidR="005C1212" w:rsidRPr="004F3432">
        <w:rPr>
          <w:rFonts w:ascii="Garamond" w:hAnsi="Garamond"/>
          <w:sz w:val="24"/>
          <w:szCs w:val="24"/>
        </w:rPr>
        <w:t>1990</w:t>
      </w:r>
      <w:r w:rsidR="00C50DB6">
        <w:rPr>
          <w:rFonts w:ascii="Garamond" w:hAnsi="Garamond"/>
          <w:sz w:val="24"/>
          <w:szCs w:val="24"/>
        </w:rPr>
        <w:t>-</w:t>
      </w:r>
      <w:r w:rsidR="005C1212" w:rsidRPr="004F3432">
        <w:rPr>
          <w:rFonts w:ascii="Garamond" w:hAnsi="Garamond"/>
          <w:sz w:val="24"/>
          <w:szCs w:val="24"/>
        </w:rPr>
        <w:t xml:space="preserve"> 2010</w:t>
      </w:r>
      <w:r w:rsidR="00C50DB6">
        <w:rPr>
          <w:rFonts w:ascii="Garamond" w:hAnsi="Garamond"/>
          <w:sz w:val="24"/>
          <w:szCs w:val="24"/>
        </w:rPr>
        <w:t>)</w:t>
      </w:r>
      <w:r w:rsidR="005C1212" w:rsidRPr="004F3432">
        <w:rPr>
          <w:rFonts w:ascii="Garamond" w:hAnsi="Garamond"/>
          <w:sz w:val="24"/>
          <w:szCs w:val="24"/>
        </w:rPr>
        <w:t xml:space="preserve"> than in</w:t>
      </w:r>
      <w:r w:rsidR="00C50DB6">
        <w:rPr>
          <w:rFonts w:ascii="Garamond" w:hAnsi="Garamond"/>
          <w:sz w:val="24"/>
          <w:szCs w:val="24"/>
        </w:rPr>
        <w:t xml:space="preserve"> the earlier years (</w:t>
      </w:r>
      <w:r w:rsidR="005C1212" w:rsidRPr="004F3432">
        <w:rPr>
          <w:rFonts w:ascii="Garamond" w:hAnsi="Garamond"/>
          <w:sz w:val="24"/>
          <w:szCs w:val="24"/>
        </w:rPr>
        <w:t>1960 and 1970</w:t>
      </w:r>
      <w:r w:rsidR="00C50DB6">
        <w:rPr>
          <w:rFonts w:ascii="Garamond" w:hAnsi="Garamond"/>
          <w:sz w:val="24"/>
          <w:szCs w:val="24"/>
        </w:rPr>
        <w:t>)</w:t>
      </w:r>
      <w:r w:rsidR="005C1212" w:rsidRPr="004F3432">
        <w:rPr>
          <w:rFonts w:ascii="Garamond" w:hAnsi="Garamond"/>
          <w:sz w:val="24"/>
          <w:szCs w:val="24"/>
        </w:rPr>
        <w:t>.   Not only</w:t>
      </w:r>
      <w:r w:rsidR="00241FE4" w:rsidRPr="004F3432">
        <w:rPr>
          <w:rFonts w:ascii="Garamond" w:hAnsi="Garamond"/>
          <w:sz w:val="24"/>
          <w:szCs w:val="24"/>
        </w:rPr>
        <w:t xml:space="preserve"> do the ratios fail to</w:t>
      </w:r>
      <w:r w:rsidR="003F1F54" w:rsidRPr="004F3432">
        <w:rPr>
          <w:rFonts w:ascii="Garamond" w:hAnsi="Garamond"/>
          <w:sz w:val="24"/>
          <w:szCs w:val="24"/>
        </w:rPr>
        <w:t xml:space="preserve"> recover at the same rate as previous decade,</w:t>
      </w:r>
      <w:r w:rsidR="005C1212" w:rsidRPr="004F3432">
        <w:rPr>
          <w:rFonts w:ascii="Garamond" w:hAnsi="Garamond"/>
          <w:sz w:val="24"/>
          <w:szCs w:val="24"/>
        </w:rPr>
        <w:t xml:space="preserve"> the ratios </w:t>
      </w:r>
      <w:r w:rsidR="00241FE4" w:rsidRPr="004F3432">
        <w:rPr>
          <w:rFonts w:ascii="Garamond" w:hAnsi="Garamond"/>
          <w:sz w:val="24"/>
          <w:szCs w:val="24"/>
        </w:rPr>
        <w:t>are lower for all age cohorts</w:t>
      </w:r>
      <w:r w:rsidR="007F4301" w:rsidRPr="004F3432">
        <w:rPr>
          <w:rFonts w:ascii="Garamond" w:hAnsi="Garamond"/>
          <w:sz w:val="24"/>
          <w:szCs w:val="24"/>
        </w:rPr>
        <w:t xml:space="preserve"> after 1990</w:t>
      </w:r>
      <w:r w:rsidR="005C1212" w:rsidRPr="004F3432">
        <w:rPr>
          <w:rFonts w:ascii="Garamond" w:hAnsi="Garamond"/>
          <w:sz w:val="24"/>
          <w:szCs w:val="24"/>
        </w:rPr>
        <w:t>.</w:t>
      </w:r>
      <w:r w:rsidR="00241FE4" w:rsidRPr="004F3432">
        <w:rPr>
          <w:rFonts w:ascii="Garamond" w:hAnsi="Garamond"/>
          <w:sz w:val="24"/>
          <w:szCs w:val="24"/>
        </w:rPr>
        <w:t xml:space="preserve">  This shows that the problem of “missing men” became more, rather than less, acute over time.</w:t>
      </w:r>
      <w:r w:rsidR="00DD3339">
        <w:rPr>
          <w:rFonts w:ascii="Garamond" w:hAnsi="Garamond"/>
          <w:sz w:val="24"/>
          <w:szCs w:val="24"/>
        </w:rPr>
        <w:t xml:space="preserve">  </w:t>
      </w:r>
    </w:p>
    <w:p w:rsidR="002067CA" w:rsidRDefault="001F73E5" w:rsidP="00C9740B">
      <w:pPr>
        <w:spacing w:after="0" w:line="480" w:lineRule="auto"/>
        <w:ind w:firstLine="432"/>
        <w:rPr>
          <w:rFonts w:ascii="Garamond" w:hAnsi="Garamond"/>
          <w:sz w:val="24"/>
          <w:szCs w:val="24"/>
        </w:rPr>
      </w:pPr>
      <w:r>
        <w:rPr>
          <w:rFonts w:ascii="Garamond" w:hAnsi="Garamond"/>
          <w:sz w:val="24"/>
          <w:szCs w:val="24"/>
        </w:rPr>
        <w:lastRenderedPageBreak/>
        <w:t>T</w:t>
      </w:r>
      <w:r w:rsidR="007F4301">
        <w:rPr>
          <w:rFonts w:ascii="Garamond" w:hAnsi="Garamond"/>
          <w:sz w:val="24"/>
          <w:szCs w:val="24"/>
        </w:rPr>
        <w:t>o sh</w:t>
      </w:r>
      <w:r w:rsidR="00AD18FA">
        <w:rPr>
          <w:rFonts w:ascii="Garamond" w:hAnsi="Garamond"/>
          <w:sz w:val="24"/>
          <w:szCs w:val="24"/>
        </w:rPr>
        <w:t>ow that the</w:t>
      </w:r>
      <w:r w:rsidR="007B0DF0">
        <w:rPr>
          <w:rFonts w:ascii="Garamond" w:hAnsi="Garamond"/>
          <w:sz w:val="24"/>
          <w:szCs w:val="24"/>
        </w:rPr>
        <w:t xml:space="preserve"> ratios in Figure 1 are</w:t>
      </w:r>
      <w:r w:rsidR="007F4301">
        <w:rPr>
          <w:rFonts w:ascii="Garamond" w:hAnsi="Garamond"/>
          <w:sz w:val="24"/>
          <w:szCs w:val="24"/>
        </w:rPr>
        <w:t xml:space="preserve"> dist</w:t>
      </w:r>
      <w:r w:rsidR="00FC67A7">
        <w:rPr>
          <w:rFonts w:ascii="Garamond" w:hAnsi="Garamond"/>
          <w:sz w:val="24"/>
          <w:szCs w:val="24"/>
        </w:rPr>
        <w:t>inctive</w:t>
      </w:r>
      <w:r w:rsidR="007B0DF0">
        <w:rPr>
          <w:rFonts w:ascii="Garamond" w:hAnsi="Garamond"/>
          <w:sz w:val="24"/>
          <w:szCs w:val="24"/>
        </w:rPr>
        <w:t xml:space="preserve"> we compare </w:t>
      </w:r>
      <w:r w:rsidR="00AD18FA">
        <w:rPr>
          <w:rFonts w:ascii="Garamond" w:hAnsi="Garamond"/>
          <w:sz w:val="24"/>
          <w:szCs w:val="24"/>
        </w:rPr>
        <w:t>the sex</w:t>
      </w:r>
      <w:r w:rsidR="007F4301">
        <w:rPr>
          <w:rFonts w:ascii="Garamond" w:hAnsi="Garamond"/>
          <w:sz w:val="24"/>
          <w:szCs w:val="24"/>
        </w:rPr>
        <w:t xml:space="preserve"> ratios for Mexico in the year 2000 to those from the U.S.</w:t>
      </w:r>
      <w:r w:rsidR="003F1F54">
        <w:rPr>
          <w:rFonts w:ascii="Garamond" w:hAnsi="Garamond"/>
          <w:sz w:val="24"/>
          <w:szCs w:val="24"/>
        </w:rPr>
        <w:t xml:space="preserve"> and Brazil</w:t>
      </w:r>
      <w:r w:rsidR="00F63112">
        <w:rPr>
          <w:rFonts w:ascii="Garamond" w:hAnsi="Garamond"/>
          <w:sz w:val="24"/>
          <w:szCs w:val="24"/>
        </w:rPr>
        <w:t>, a country with similar income levels to Mexico,</w:t>
      </w:r>
      <w:r w:rsidR="007F4301">
        <w:rPr>
          <w:rFonts w:ascii="Garamond" w:hAnsi="Garamond"/>
          <w:sz w:val="24"/>
          <w:szCs w:val="24"/>
        </w:rPr>
        <w:t xml:space="preserve"> in the same year</w:t>
      </w:r>
      <w:r w:rsidR="003F1F54">
        <w:rPr>
          <w:rFonts w:ascii="Garamond" w:hAnsi="Garamond"/>
          <w:sz w:val="24"/>
          <w:szCs w:val="24"/>
        </w:rPr>
        <w:t xml:space="preserve"> using Census data from IPUMS</w:t>
      </w:r>
      <w:r w:rsidR="007F4301">
        <w:rPr>
          <w:rFonts w:ascii="Garamond" w:hAnsi="Garamond"/>
          <w:sz w:val="24"/>
          <w:szCs w:val="24"/>
        </w:rPr>
        <w:t xml:space="preserve">.  </w:t>
      </w:r>
      <w:r w:rsidR="003D632C">
        <w:rPr>
          <w:rFonts w:ascii="Garamond" w:hAnsi="Garamond"/>
          <w:sz w:val="24"/>
          <w:szCs w:val="24"/>
        </w:rPr>
        <w:t>The results,</w:t>
      </w:r>
      <w:r w:rsidR="007B0DF0">
        <w:rPr>
          <w:rFonts w:ascii="Garamond" w:hAnsi="Garamond"/>
          <w:sz w:val="24"/>
          <w:szCs w:val="24"/>
        </w:rPr>
        <w:t xml:space="preserve"> presented</w:t>
      </w:r>
      <w:r w:rsidR="003D632C">
        <w:rPr>
          <w:rFonts w:ascii="Garamond" w:hAnsi="Garamond"/>
          <w:sz w:val="24"/>
          <w:szCs w:val="24"/>
        </w:rPr>
        <w:t xml:space="preserve"> in Figure 2, confirm that Mexico’s trajectory is unique.  </w:t>
      </w:r>
      <w:r w:rsidR="00FC67A7">
        <w:rPr>
          <w:rFonts w:ascii="Garamond" w:hAnsi="Garamond"/>
          <w:sz w:val="24"/>
          <w:szCs w:val="24"/>
        </w:rPr>
        <w:t>I</w:t>
      </w:r>
      <w:r>
        <w:rPr>
          <w:rFonts w:ascii="Garamond" w:hAnsi="Garamond"/>
          <w:sz w:val="24"/>
          <w:szCs w:val="24"/>
        </w:rPr>
        <w:t xml:space="preserve">n the U.S. in the </w:t>
      </w:r>
      <w:r w:rsidR="005F287E">
        <w:rPr>
          <w:rFonts w:ascii="Garamond" w:hAnsi="Garamond"/>
          <w:sz w:val="24"/>
          <w:szCs w:val="24"/>
        </w:rPr>
        <w:t>year 2000 t</w:t>
      </w:r>
      <w:r w:rsidR="00AD18FA">
        <w:rPr>
          <w:rFonts w:ascii="Garamond" w:hAnsi="Garamond"/>
          <w:sz w:val="24"/>
          <w:szCs w:val="24"/>
        </w:rPr>
        <w:t>he sex</w:t>
      </w:r>
      <w:r w:rsidR="009C7A9C">
        <w:rPr>
          <w:rFonts w:ascii="Garamond" w:hAnsi="Garamond"/>
          <w:sz w:val="24"/>
          <w:szCs w:val="24"/>
        </w:rPr>
        <w:t xml:space="preserve"> ratio for the 18 to 25 age cohort was 1.04</w:t>
      </w:r>
      <w:r>
        <w:rPr>
          <w:rFonts w:ascii="Garamond" w:hAnsi="Garamond"/>
          <w:sz w:val="24"/>
          <w:szCs w:val="24"/>
        </w:rPr>
        <w:t>, while that for</w:t>
      </w:r>
      <w:r w:rsidR="009C7A9C">
        <w:rPr>
          <w:rFonts w:ascii="Garamond" w:hAnsi="Garamond"/>
          <w:sz w:val="24"/>
          <w:szCs w:val="24"/>
        </w:rPr>
        <w:t xml:space="preserve"> Brazil was 0.999.  For Mexico the ratio was 0.9, which means there was one man</w:t>
      </w:r>
      <w:r w:rsidR="0081377D">
        <w:rPr>
          <w:rFonts w:ascii="Garamond" w:hAnsi="Garamond"/>
          <w:sz w:val="24"/>
          <w:szCs w:val="24"/>
        </w:rPr>
        <w:t xml:space="preserve"> less</w:t>
      </w:r>
      <w:r w:rsidR="009C7A9C">
        <w:rPr>
          <w:rFonts w:ascii="Garamond" w:hAnsi="Garamond"/>
          <w:sz w:val="24"/>
          <w:szCs w:val="24"/>
        </w:rPr>
        <w:t xml:space="preserve"> for every ten women in that age cohort than in the U.S. or Brazil. T</w:t>
      </w:r>
      <w:r w:rsidR="00AD18FA">
        <w:rPr>
          <w:rFonts w:ascii="Garamond" w:hAnsi="Garamond"/>
          <w:sz w:val="24"/>
          <w:szCs w:val="24"/>
        </w:rPr>
        <w:t>his large gap between the sex</w:t>
      </w:r>
      <w:r w:rsidR="009C7A9C">
        <w:rPr>
          <w:rFonts w:ascii="Garamond" w:hAnsi="Garamond"/>
          <w:sz w:val="24"/>
          <w:szCs w:val="24"/>
        </w:rPr>
        <w:t xml:space="preserve"> ratios in Mexico and the other countries remains through the 34 to 41 age cohorts,</w:t>
      </w:r>
      <w:r w:rsidR="00D126B1">
        <w:rPr>
          <w:rFonts w:ascii="Garamond" w:hAnsi="Garamond"/>
          <w:sz w:val="24"/>
          <w:szCs w:val="24"/>
        </w:rPr>
        <w:t xml:space="preserve"> highlighting the distinctive problem of missing men in Mexico.</w:t>
      </w:r>
      <w:r w:rsidR="009C7A9C">
        <w:rPr>
          <w:rFonts w:ascii="Garamond" w:hAnsi="Garamond"/>
          <w:sz w:val="24"/>
          <w:szCs w:val="24"/>
        </w:rPr>
        <w:t xml:space="preserve">   </w:t>
      </w:r>
    </w:p>
    <w:p w:rsidR="0036448F" w:rsidRPr="002067CA" w:rsidRDefault="0036448F" w:rsidP="0036448F">
      <w:pPr>
        <w:numPr>
          <w:ilvl w:val="1"/>
          <w:numId w:val="1"/>
        </w:numPr>
        <w:spacing w:after="0" w:line="480" w:lineRule="auto"/>
        <w:rPr>
          <w:rFonts w:ascii="Garamond" w:hAnsi="Garamond"/>
          <w:b/>
          <w:sz w:val="24"/>
          <w:szCs w:val="24"/>
        </w:rPr>
      </w:pPr>
      <w:r w:rsidRPr="002067CA">
        <w:rPr>
          <w:rFonts w:ascii="Garamond" w:hAnsi="Garamond"/>
          <w:b/>
          <w:sz w:val="24"/>
          <w:szCs w:val="24"/>
        </w:rPr>
        <w:t xml:space="preserve">International Migration   </w:t>
      </w:r>
    </w:p>
    <w:p w:rsidR="0036448F" w:rsidRDefault="0036448F" w:rsidP="0036448F">
      <w:pPr>
        <w:spacing w:after="0" w:line="480" w:lineRule="auto"/>
        <w:rPr>
          <w:rFonts w:ascii="Garamond" w:hAnsi="Garamond"/>
          <w:sz w:val="24"/>
          <w:szCs w:val="24"/>
        </w:rPr>
      </w:pPr>
      <w:r>
        <w:rPr>
          <w:rFonts w:ascii="Garamond" w:hAnsi="Garamond"/>
          <w:sz w:val="24"/>
          <w:szCs w:val="24"/>
        </w:rPr>
        <w:t>In the case of Mexico the changing sex ratios can be explained by international migr</w:t>
      </w:r>
      <w:r w:rsidR="00574565">
        <w:rPr>
          <w:rFonts w:ascii="Garamond" w:hAnsi="Garamond"/>
          <w:sz w:val="24"/>
          <w:szCs w:val="24"/>
        </w:rPr>
        <w:t xml:space="preserve">ation, particularly to the U.S. [In Appendix A we use a simple theoretical framework to show how the </w:t>
      </w:r>
      <w:r w:rsidR="00574565" w:rsidRPr="00C50DB6">
        <w:rPr>
          <w:rFonts w:ascii="Garamond" w:hAnsi="Garamond"/>
          <w:sz w:val="24"/>
          <w:szCs w:val="24"/>
        </w:rPr>
        <w:t>sex ratio in any period is a function of the earlier sex ratio, and the out and return migration rates for men</w:t>
      </w:r>
      <w:r w:rsidR="00574565">
        <w:rPr>
          <w:rFonts w:ascii="Garamond" w:hAnsi="Garamond"/>
          <w:sz w:val="24"/>
          <w:szCs w:val="24"/>
        </w:rPr>
        <w:t>]</w:t>
      </w:r>
      <w:r>
        <w:rPr>
          <w:rFonts w:ascii="Garamond" w:hAnsi="Garamond"/>
          <w:sz w:val="24"/>
          <w:szCs w:val="24"/>
        </w:rPr>
        <w:t xml:space="preserve"> We begin by showing t</w:t>
      </w:r>
      <w:r w:rsidR="00107A65">
        <w:rPr>
          <w:rFonts w:ascii="Garamond" w:hAnsi="Garamond"/>
          <w:sz w:val="24"/>
          <w:szCs w:val="24"/>
        </w:rPr>
        <w:t>his through a</w:t>
      </w:r>
      <w:r>
        <w:rPr>
          <w:rFonts w:ascii="Garamond" w:hAnsi="Garamond"/>
          <w:sz w:val="24"/>
          <w:szCs w:val="24"/>
        </w:rPr>
        <w:t xml:space="preserve"> simple </w:t>
      </w:r>
      <w:r w:rsidR="00107A65">
        <w:rPr>
          <w:rFonts w:ascii="Garamond" w:hAnsi="Garamond"/>
          <w:sz w:val="24"/>
          <w:szCs w:val="24"/>
        </w:rPr>
        <w:t xml:space="preserve">theoretical </w:t>
      </w:r>
      <w:r>
        <w:rPr>
          <w:rFonts w:ascii="Garamond" w:hAnsi="Garamond"/>
          <w:sz w:val="24"/>
          <w:szCs w:val="24"/>
        </w:rPr>
        <w:t xml:space="preserve">framework, which follows that detailed by Raphael (2013).  </w:t>
      </w:r>
    </w:p>
    <w:p w:rsidR="0036448F" w:rsidRDefault="0036448F" w:rsidP="00C9740B">
      <w:pPr>
        <w:spacing w:after="0" w:line="480" w:lineRule="auto"/>
        <w:ind w:firstLine="432"/>
        <w:rPr>
          <w:rFonts w:ascii="Garamond" w:hAnsi="Garamond"/>
          <w:sz w:val="24"/>
          <w:szCs w:val="24"/>
        </w:rPr>
      </w:pPr>
      <w:r>
        <w:rPr>
          <w:rFonts w:ascii="Garamond" w:hAnsi="Garamond"/>
          <w:sz w:val="24"/>
          <w:szCs w:val="24"/>
        </w:rPr>
        <w:t xml:space="preserve">Let </w:t>
      </w:r>
      <w:r w:rsidRPr="00DC5A8B">
        <w:rPr>
          <w:rFonts w:ascii="Garamond" w:hAnsi="Garamond"/>
          <w:position w:val="-12"/>
          <w:sz w:val="24"/>
          <w:szCs w:val="24"/>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75pt" o:ole="">
            <v:imagedata r:id="rId11" o:title=""/>
          </v:shape>
          <o:OLEObject Type="Embed" ProgID="Equation.3" ShapeID="_x0000_i1025" DrawAspect="Content" ObjectID="_1489935296" r:id="rId12"/>
        </w:object>
      </w:r>
      <w:r w:rsidR="00C9740B">
        <w:rPr>
          <w:rFonts w:ascii="Garamond" w:hAnsi="Garamond"/>
          <w:sz w:val="24"/>
          <w:szCs w:val="24"/>
        </w:rPr>
        <w:t>be</w:t>
      </w:r>
      <w:r>
        <w:rPr>
          <w:rFonts w:ascii="Garamond" w:hAnsi="Garamond"/>
          <w:sz w:val="24"/>
          <w:szCs w:val="24"/>
        </w:rPr>
        <w:t xml:space="preserve"> the total number of men in state </w:t>
      </w:r>
      <w:r w:rsidRPr="00C9740B">
        <w:rPr>
          <w:rFonts w:ascii="Garamond" w:hAnsi="Garamond"/>
          <w:i/>
          <w:sz w:val="24"/>
          <w:szCs w:val="24"/>
        </w:rPr>
        <w:t>s</w:t>
      </w:r>
      <w:r>
        <w:rPr>
          <w:rFonts w:ascii="Garamond" w:hAnsi="Garamond"/>
          <w:sz w:val="24"/>
          <w:szCs w:val="24"/>
        </w:rPr>
        <w:t xml:space="preserve"> and cohort </w:t>
      </w:r>
      <w:r w:rsidRPr="00C9740B">
        <w:rPr>
          <w:rFonts w:ascii="Garamond" w:hAnsi="Garamond"/>
          <w:i/>
          <w:sz w:val="24"/>
          <w:szCs w:val="24"/>
        </w:rPr>
        <w:t>c</w:t>
      </w:r>
      <w:r>
        <w:rPr>
          <w:rFonts w:ascii="Garamond" w:hAnsi="Garamond"/>
          <w:sz w:val="24"/>
          <w:szCs w:val="24"/>
        </w:rPr>
        <w:t xml:space="preserve"> in time </w:t>
      </w:r>
      <w:r w:rsidRPr="00C9740B">
        <w:rPr>
          <w:rFonts w:ascii="Garamond" w:hAnsi="Garamond"/>
          <w:i/>
          <w:sz w:val="24"/>
          <w:szCs w:val="24"/>
        </w:rPr>
        <w:t>t</w:t>
      </w:r>
      <w:r w:rsidR="00C9740B">
        <w:rPr>
          <w:rFonts w:ascii="Garamond" w:hAnsi="Garamond"/>
          <w:sz w:val="24"/>
          <w:szCs w:val="24"/>
        </w:rPr>
        <w:t xml:space="preserve">, where </w:t>
      </w:r>
      <w:r w:rsidR="00C9740B" w:rsidRPr="00C9740B">
        <w:rPr>
          <w:rFonts w:ascii="Garamond" w:hAnsi="Garamond"/>
          <w:i/>
          <w:sz w:val="24"/>
          <w:szCs w:val="24"/>
        </w:rPr>
        <w:t>t-1</w:t>
      </w:r>
      <w:r w:rsidR="00C9740B">
        <w:rPr>
          <w:rFonts w:ascii="Garamond" w:hAnsi="Garamond"/>
          <w:sz w:val="24"/>
          <w:szCs w:val="24"/>
        </w:rPr>
        <w:t xml:space="preserve"> would designate the previous period. </w:t>
      </w:r>
      <w:r>
        <w:rPr>
          <w:rFonts w:ascii="Garamond" w:hAnsi="Garamond"/>
          <w:sz w:val="24"/>
          <w:szCs w:val="24"/>
        </w:rPr>
        <w:t>Assuming no mortality</w:t>
      </w:r>
      <w:r w:rsidR="00C9740B">
        <w:rPr>
          <w:rFonts w:ascii="Garamond" w:hAnsi="Garamond"/>
          <w:sz w:val="24"/>
          <w:szCs w:val="24"/>
        </w:rPr>
        <w:t xml:space="preserve"> and that only international migration drives migration flows</w:t>
      </w:r>
      <w:r w:rsidR="00C9740B">
        <w:rPr>
          <w:rStyle w:val="FootnoteReference"/>
          <w:rFonts w:ascii="Garamond" w:hAnsi="Garamond"/>
          <w:sz w:val="24"/>
          <w:szCs w:val="24"/>
        </w:rPr>
        <w:footnoteReference w:id="6"/>
      </w:r>
      <w:r>
        <w:rPr>
          <w:rFonts w:ascii="Garamond" w:hAnsi="Garamond"/>
          <w:sz w:val="24"/>
          <w:szCs w:val="24"/>
        </w:rPr>
        <w:t>, the</w:t>
      </w:r>
      <w:r w:rsidR="00C9740B">
        <w:rPr>
          <w:rFonts w:ascii="Garamond" w:hAnsi="Garamond"/>
          <w:sz w:val="24"/>
          <w:szCs w:val="24"/>
        </w:rPr>
        <w:t>n the</w:t>
      </w:r>
      <w:r>
        <w:rPr>
          <w:rFonts w:ascii="Garamond" w:hAnsi="Garamond"/>
          <w:sz w:val="24"/>
          <w:szCs w:val="24"/>
        </w:rPr>
        <w:t xml:space="preserve"> difference </w:t>
      </w:r>
      <w:r w:rsidR="00C9740B" w:rsidRPr="00DC5A8B">
        <w:rPr>
          <w:rFonts w:ascii="Garamond" w:hAnsi="Garamond"/>
          <w:position w:val="-12"/>
          <w:sz w:val="24"/>
          <w:szCs w:val="24"/>
        </w:rPr>
        <w:object w:dxaOrig="1140" w:dyaOrig="380">
          <v:shape id="_x0000_i1026" type="#_x0000_t75" style="width:56.25pt;height:18.75pt" o:ole="">
            <v:imagedata r:id="rId13" o:title=""/>
          </v:shape>
          <o:OLEObject Type="Embed" ProgID="Equation.3" ShapeID="_x0000_i1026" DrawAspect="Content" ObjectID="_1489935297" r:id="rId14"/>
        </w:object>
      </w:r>
      <w:r>
        <w:rPr>
          <w:rFonts w:ascii="Garamond" w:hAnsi="Garamond"/>
          <w:sz w:val="24"/>
          <w:szCs w:val="24"/>
        </w:rPr>
        <w:t xml:space="preserve"> is the number of men who have migrated out and the numbe</w:t>
      </w:r>
      <w:r w:rsidR="00C9740B">
        <w:rPr>
          <w:rFonts w:ascii="Garamond" w:hAnsi="Garamond"/>
          <w:sz w:val="24"/>
          <w:szCs w:val="24"/>
        </w:rPr>
        <w:t>r of men who have migrated in.</w:t>
      </w:r>
      <w:r>
        <w:rPr>
          <w:rFonts w:ascii="Garamond" w:hAnsi="Garamond"/>
          <w:sz w:val="24"/>
          <w:szCs w:val="24"/>
        </w:rPr>
        <w:t xml:space="preserve"> It can be shown that if the out and in migration rates are similar for men and women, the sex ratios do not change over time.  Given that the national migration rates are roughly balanced across sexes this is less likely to drive changes in sex ratios.</w:t>
      </w:r>
      <w:r w:rsidR="008B4BE0">
        <w:rPr>
          <w:rStyle w:val="FootnoteReference"/>
          <w:rFonts w:ascii="Garamond" w:hAnsi="Garamond"/>
          <w:sz w:val="24"/>
          <w:szCs w:val="24"/>
        </w:rPr>
        <w:footnoteReference w:id="7"/>
      </w:r>
      <w:r>
        <w:rPr>
          <w:rFonts w:ascii="Garamond" w:hAnsi="Garamond"/>
          <w:sz w:val="24"/>
          <w:szCs w:val="24"/>
        </w:rPr>
        <w:t xml:space="preserve">   </w:t>
      </w:r>
    </w:p>
    <w:p w:rsidR="0036448F" w:rsidRDefault="0036448F" w:rsidP="0036448F">
      <w:pPr>
        <w:spacing w:after="0" w:line="480" w:lineRule="auto"/>
        <w:ind w:firstLine="360"/>
        <w:rPr>
          <w:rFonts w:ascii="Garamond" w:hAnsi="Garamond"/>
          <w:sz w:val="24"/>
          <w:szCs w:val="24"/>
        </w:rPr>
      </w:pPr>
      <w:r>
        <w:rPr>
          <w:rFonts w:ascii="Garamond" w:hAnsi="Garamond"/>
          <w:sz w:val="24"/>
          <w:szCs w:val="24"/>
        </w:rPr>
        <w:lastRenderedPageBreak/>
        <w:t>Let</w:t>
      </w:r>
      <w:r w:rsidRPr="00A56298">
        <w:rPr>
          <w:rFonts w:ascii="Garamond" w:hAnsi="Garamond"/>
          <w:position w:val="-12"/>
          <w:sz w:val="24"/>
          <w:szCs w:val="24"/>
        </w:rPr>
        <w:object w:dxaOrig="540" w:dyaOrig="380">
          <v:shape id="_x0000_i1027" type="#_x0000_t75" style="width:27pt;height:18.75pt" o:ole="">
            <v:imagedata r:id="rId15" o:title=""/>
          </v:shape>
          <o:OLEObject Type="Embed" ProgID="Equation.3" ShapeID="_x0000_i1027" DrawAspect="Content" ObjectID="_1489935298" r:id="rId16"/>
        </w:object>
      </w:r>
      <w:r>
        <w:rPr>
          <w:rFonts w:ascii="Garamond" w:hAnsi="Garamond"/>
          <w:sz w:val="24"/>
          <w:szCs w:val="24"/>
        </w:rPr>
        <w:t>equal the number of men in a cohort and state that migrate internationally (</w:t>
      </w:r>
      <w:r w:rsidRPr="00943D32">
        <w:rPr>
          <w:rFonts w:ascii="Garamond" w:hAnsi="Garamond"/>
          <w:i/>
          <w:sz w:val="24"/>
          <w:szCs w:val="24"/>
        </w:rPr>
        <w:t>m</w:t>
      </w:r>
      <w:r>
        <w:rPr>
          <w:rFonts w:ascii="Garamond" w:hAnsi="Garamond"/>
          <w:sz w:val="24"/>
          <w:szCs w:val="24"/>
        </w:rPr>
        <w:t xml:space="preserve">) between </w:t>
      </w:r>
      <w:r w:rsidRPr="008B4BE0">
        <w:rPr>
          <w:rFonts w:ascii="Garamond" w:hAnsi="Garamond"/>
          <w:i/>
          <w:sz w:val="24"/>
          <w:szCs w:val="24"/>
        </w:rPr>
        <w:t>t-1</w:t>
      </w:r>
      <w:r>
        <w:rPr>
          <w:rFonts w:ascii="Garamond" w:hAnsi="Garamond"/>
          <w:sz w:val="24"/>
          <w:szCs w:val="24"/>
        </w:rPr>
        <w:t xml:space="preserve"> and </w:t>
      </w:r>
      <w:r w:rsidRPr="008B4BE0">
        <w:rPr>
          <w:rFonts w:ascii="Garamond" w:hAnsi="Garamond"/>
          <w:i/>
          <w:sz w:val="24"/>
          <w:szCs w:val="24"/>
        </w:rPr>
        <w:t>t</w:t>
      </w:r>
      <w:r>
        <w:rPr>
          <w:rFonts w:ascii="Garamond" w:hAnsi="Garamond"/>
          <w:sz w:val="24"/>
          <w:szCs w:val="24"/>
        </w:rPr>
        <w:t>, and</w:t>
      </w:r>
      <w:r w:rsidRPr="00A56298">
        <w:rPr>
          <w:rFonts w:ascii="Garamond" w:hAnsi="Garamond"/>
          <w:position w:val="-12"/>
          <w:sz w:val="24"/>
          <w:szCs w:val="24"/>
        </w:rPr>
        <w:object w:dxaOrig="499" w:dyaOrig="380">
          <v:shape id="_x0000_i1028" type="#_x0000_t75" style="width:24.75pt;height:18.75pt" o:ole="">
            <v:imagedata r:id="rId17" o:title=""/>
          </v:shape>
          <o:OLEObject Type="Embed" ProgID="Equation.3" ShapeID="_x0000_i1028" DrawAspect="Content" ObjectID="_1489935299" r:id="rId18"/>
        </w:object>
      </w:r>
      <w:r>
        <w:rPr>
          <w:rFonts w:ascii="Garamond" w:hAnsi="Garamond"/>
          <w:sz w:val="24"/>
          <w:szCs w:val="24"/>
        </w:rPr>
        <w:t>equal the number of men in a cohort and state that return from abroad (</w:t>
      </w:r>
      <w:r w:rsidRPr="00943D32">
        <w:rPr>
          <w:rFonts w:ascii="Garamond" w:hAnsi="Garamond"/>
          <w:i/>
          <w:sz w:val="24"/>
          <w:szCs w:val="24"/>
        </w:rPr>
        <w:t>r</w:t>
      </w:r>
      <w:r>
        <w:rPr>
          <w:rFonts w:ascii="Garamond" w:hAnsi="Garamond"/>
          <w:sz w:val="24"/>
          <w:szCs w:val="24"/>
        </w:rPr>
        <w:t xml:space="preserve">) between </w:t>
      </w:r>
      <w:r w:rsidRPr="008B4BE0">
        <w:rPr>
          <w:rFonts w:ascii="Garamond" w:hAnsi="Garamond"/>
          <w:i/>
          <w:sz w:val="24"/>
          <w:szCs w:val="24"/>
        </w:rPr>
        <w:t>t-1</w:t>
      </w:r>
      <w:r>
        <w:rPr>
          <w:rFonts w:ascii="Garamond" w:hAnsi="Garamond"/>
          <w:sz w:val="24"/>
          <w:szCs w:val="24"/>
        </w:rPr>
        <w:t xml:space="preserve"> and </w:t>
      </w:r>
      <w:r w:rsidRPr="008B4BE0">
        <w:rPr>
          <w:rFonts w:ascii="Garamond" w:hAnsi="Garamond"/>
          <w:i/>
          <w:sz w:val="24"/>
          <w:szCs w:val="24"/>
        </w:rPr>
        <w:t>t</w:t>
      </w:r>
      <w:r>
        <w:rPr>
          <w:rFonts w:ascii="Garamond" w:hAnsi="Garamond"/>
          <w:sz w:val="24"/>
          <w:szCs w:val="24"/>
        </w:rPr>
        <w:t>.  The number of men in a given cohort and state</w:t>
      </w:r>
      <w:r w:rsidR="008B4BE0">
        <w:rPr>
          <w:rFonts w:ascii="Garamond" w:hAnsi="Garamond"/>
          <w:sz w:val="24"/>
          <w:szCs w:val="24"/>
        </w:rPr>
        <w:t>,</w:t>
      </w:r>
      <w:r>
        <w:rPr>
          <w:rFonts w:ascii="Garamond" w:hAnsi="Garamond"/>
          <w:sz w:val="24"/>
          <w:szCs w:val="24"/>
        </w:rPr>
        <w:t xml:space="preserve"> in year </w:t>
      </w:r>
      <w:r w:rsidRPr="008B4BE0">
        <w:rPr>
          <w:rFonts w:ascii="Garamond" w:hAnsi="Garamond"/>
          <w:i/>
          <w:sz w:val="24"/>
          <w:szCs w:val="24"/>
        </w:rPr>
        <w:t>t</w:t>
      </w:r>
      <w:r>
        <w:rPr>
          <w:rFonts w:ascii="Garamond" w:hAnsi="Garamond"/>
          <w:sz w:val="24"/>
          <w:szCs w:val="24"/>
        </w:rPr>
        <w:t xml:space="preserve"> can be expressed as a function of the number of men in the previous period minus international migrants plus returning migrants.   </w:t>
      </w:r>
    </w:p>
    <w:p w:rsidR="0036448F" w:rsidRPr="009338B0" w:rsidRDefault="0036448F" w:rsidP="009338B0">
      <w:pPr>
        <w:pStyle w:val="ListParagraph"/>
        <w:numPr>
          <w:ilvl w:val="0"/>
          <w:numId w:val="10"/>
        </w:numPr>
        <w:spacing w:after="0" w:line="480" w:lineRule="auto"/>
        <w:rPr>
          <w:rFonts w:ascii="Garamond" w:hAnsi="Garamond"/>
          <w:sz w:val="24"/>
          <w:szCs w:val="24"/>
        </w:rPr>
      </w:pPr>
      <w:r w:rsidRPr="001C3F94">
        <w:object w:dxaOrig="2560" w:dyaOrig="380">
          <v:shape id="_x0000_i1029" type="#_x0000_t75" style="width:128.25pt;height:18.75pt" o:ole="">
            <v:imagedata r:id="rId19" o:title=""/>
          </v:shape>
          <o:OLEObject Type="Embed" ProgID="Equation.3" ShapeID="_x0000_i1029" DrawAspect="Content" ObjectID="_1489935300" r:id="rId20"/>
        </w:object>
      </w:r>
    </w:p>
    <w:p w:rsidR="0036448F" w:rsidRDefault="0036448F" w:rsidP="0036448F">
      <w:pPr>
        <w:spacing w:after="0" w:line="480" w:lineRule="auto"/>
        <w:rPr>
          <w:rFonts w:ascii="Garamond" w:hAnsi="Garamond"/>
          <w:sz w:val="24"/>
          <w:szCs w:val="24"/>
        </w:rPr>
      </w:pPr>
      <w:r>
        <w:rPr>
          <w:rFonts w:ascii="Garamond" w:hAnsi="Garamond"/>
          <w:sz w:val="24"/>
          <w:szCs w:val="24"/>
        </w:rPr>
        <w:t xml:space="preserve">The cohort of women can be expressed in the same manner: </w:t>
      </w:r>
    </w:p>
    <w:p w:rsidR="0036448F" w:rsidRPr="009338B0" w:rsidRDefault="0036448F" w:rsidP="009338B0">
      <w:pPr>
        <w:pStyle w:val="ListParagraph"/>
        <w:numPr>
          <w:ilvl w:val="0"/>
          <w:numId w:val="10"/>
        </w:numPr>
        <w:spacing w:after="0" w:line="480" w:lineRule="auto"/>
        <w:rPr>
          <w:rFonts w:ascii="Garamond" w:hAnsi="Garamond"/>
          <w:sz w:val="24"/>
          <w:szCs w:val="24"/>
        </w:rPr>
      </w:pPr>
      <w:r w:rsidRPr="001C3F94">
        <w:object w:dxaOrig="2360" w:dyaOrig="380">
          <v:shape id="_x0000_i1030" type="#_x0000_t75" style="width:117.75pt;height:18.75pt" o:ole="">
            <v:imagedata r:id="rId21" o:title=""/>
          </v:shape>
          <o:OLEObject Type="Embed" ProgID="Equation.3" ShapeID="_x0000_i1030" DrawAspect="Content" ObjectID="_1489935301" r:id="rId22"/>
        </w:object>
      </w:r>
    </w:p>
    <w:p w:rsidR="0036448F" w:rsidRDefault="0036448F" w:rsidP="0036448F">
      <w:pPr>
        <w:spacing w:after="0" w:line="480" w:lineRule="auto"/>
        <w:rPr>
          <w:rFonts w:ascii="Garamond" w:hAnsi="Garamond"/>
          <w:sz w:val="24"/>
          <w:szCs w:val="24"/>
        </w:rPr>
      </w:pPr>
      <w:r>
        <w:rPr>
          <w:rFonts w:ascii="Garamond" w:hAnsi="Garamond"/>
          <w:sz w:val="24"/>
          <w:szCs w:val="24"/>
        </w:rPr>
        <w:t xml:space="preserve">To simplify the sex ratios further, we assume there is no in or out </w:t>
      </w:r>
      <w:r w:rsidR="006D17D2">
        <w:rPr>
          <w:rFonts w:ascii="Garamond" w:hAnsi="Garamond"/>
          <w:sz w:val="24"/>
          <w:szCs w:val="24"/>
        </w:rPr>
        <w:t xml:space="preserve">international </w:t>
      </w:r>
      <w:r>
        <w:rPr>
          <w:rFonts w:ascii="Garamond" w:hAnsi="Garamond"/>
          <w:sz w:val="24"/>
          <w:szCs w:val="24"/>
        </w:rPr>
        <w:t xml:space="preserve">migration for women, which </w:t>
      </w:r>
      <w:r w:rsidR="009338B0">
        <w:rPr>
          <w:rFonts w:ascii="Garamond" w:hAnsi="Garamond"/>
          <w:sz w:val="24"/>
          <w:szCs w:val="24"/>
        </w:rPr>
        <w:t>means</w:t>
      </w:r>
      <w:r w:rsidR="009338B0" w:rsidRPr="001C3F94">
        <w:rPr>
          <w:rFonts w:ascii="Garamond" w:hAnsi="Garamond"/>
          <w:position w:val="-12"/>
          <w:sz w:val="24"/>
          <w:szCs w:val="24"/>
        </w:rPr>
        <w:object w:dxaOrig="1080" w:dyaOrig="380">
          <v:shape id="_x0000_i1031" type="#_x0000_t75" style="width:54pt;height:18.75pt" o:ole="">
            <v:imagedata r:id="rId23" o:title=""/>
          </v:shape>
          <o:OLEObject Type="Embed" ProgID="Equation.3" ShapeID="_x0000_i1031" DrawAspect="Content" ObjectID="_1489935302" r:id="rId24"/>
        </w:object>
      </w:r>
      <w:r>
        <w:rPr>
          <w:rFonts w:ascii="Garamond" w:hAnsi="Garamond"/>
          <w:sz w:val="24"/>
          <w:szCs w:val="24"/>
        </w:rPr>
        <w:t>.  The sex ratio in any given year can be written as a function of the ratios in the previous year and the in (</w:t>
      </w:r>
      <w:r w:rsidRPr="009A4295">
        <w:rPr>
          <w:rFonts w:ascii="Garamond" w:hAnsi="Garamond"/>
          <w:i/>
          <w:sz w:val="24"/>
          <w:szCs w:val="24"/>
        </w:rPr>
        <w:t>r</w:t>
      </w:r>
      <w:r>
        <w:rPr>
          <w:rFonts w:ascii="Garamond" w:hAnsi="Garamond"/>
          <w:sz w:val="24"/>
          <w:szCs w:val="24"/>
        </w:rPr>
        <w:t>) and out (</w:t>
      </w:r>
      <w:r w:rsidRPr="009A4295">
        <w:rPr>
          <w:rFonts w:ascii="Garamond" w:hAnsi="Garamond"/>
          <w:i/>
          <w:sz w:val="24"/>
          <w:szCs w:val="24"/>
        </w:rPr>
        <w:t>m</w:t>
      </w:r>
      <w:r>
        <w:rPr>
          <w:rFonts w:ascii="Garamond" w:hAnsi="Garamond"/>
          <w:sz w:val="24"/>
          <w:szCs w:val="24"/>
        </w:rPr>
        <w:t>) migration rates for men:</w:t>
      </w:r>
    </w:p>
    <w:p w:rsidR="0036448F" w:rsidRPr="009338B0" w:rsidRDefault="009338B0" w:rsidP="009338B0">
      <w:pPr>
        <w:pStyle w:val="ListParagraph"/>
        <w:numPr>
          <w:ilvl w:val="0"/>
          <w:numId w:val="10"/>
        </w:numPr>
        <w:spacing w:after="0" w:line="480" w:lineRule="auto"/>
        <w:rPr>
          <w:rFonts w:ascii="Garamond" w:hAnsi="Garamond"/>
          <w:sz w:val="24"/>
          <w:szCs w:val="24"/>
        </w:rPr>
      </w:pPr>
      <w:r w:rsidRPr="009338B0">
        <w:rPr>
          <w:position w:val="-30"/>
        </w:rPr>
        <w:object w:dxaOrig="4920" w:dyaOrig="720">
          <v:shape id="_x0000_i1032" type="#_x0000_t75" style="width:246pt;height:36pt" o:ole="">
            <v:imagedata r:id="rId25" o:title=""/>
          </v:shape>
          <o:OLEObject Type="Embed" ProgID="Equation.3" ShapeID="_x0000_i1032" DrawAspect="Content" ObjectID="_1489935303" r:id="rId26"/>
        </w:object>
      </w:r>
    </w:p>
    <w:p w:rsidR="0036448F" w:rsidRPr="00C50DB6" w:rsidRDefault="0036448F" w:rsidP="0036448F">
      <w:pPr>
        <w:spacing w:after="0" w:line="480" w:lineRule="auto"/>
        <w:rPr>
          <w:rFonts w:ascii="Garamond" w:hAnsi="Garamond"/>
          <w:sz w:val="24"/>
          <w:szCs w:val="24"/>
        </w:rPr>
      </w:pPr>
      <w:r>
        <w:rPr>
          <w:rFonts w:ascii="Garamond" w:hAnsi="Garamond"/>
          <w:sz w:val="24"/>
          <w:szCs w:val="24"/>
        </w:rPr>
        <w:t xml:space="preserve">This can be re-written to show that the </w:t>
      </w:r>
      <w:r w:rsidRPr="00C50DB6">
        <w:rPr>
          <w:rFonts w:ascii="Garamond" w:hAnsi="Garamond"/>
          <w:sz w:val="24"/>
          <w:szCs w:val="24"/>
        </w:rPr>
        <w:t xml:space="preserve">sex ratio in any period </w:t>
      </w:r>
      <w:r w:rsidR="00B12FF4" w:rsidRPr="00C50DB6">
        <w:rPr>
          <w:rFonts w:ascii="Garamond" w:hAnsi="Garamond"/>
          <w:sz w:val="24"/>
          <w:szCs w:val="24"/>
        </w:rPr>
        <w:t xml:space="preserve">is </w:t>
      </w:r>
      <w:r w:rsidRPr="00C50DB6">
        <w:rPr>
          <w:rFonts w:ascii="Garamond" w:hAnsi="Garamond"/>
          <w:sz w:val="24"/>
          <w:szCs w:val="24"/>
        </w:rPr>
        <w:t xml:space="preserve">a function of the earlier sex ratio, and the out and return migration rates for men. </w:t>
      </w:r>
    </w:p>
    <w:p w:rsidR="0036448F" w:rsidRPr="009338B0" w:rsidRDefault="003F4545" w:rsidP="009338B0">
      <w:pPr>
        <w:pStyle w:val="ListParagraph"/>
        <w:numPr>
          <w:ilvl w:val="0"/>
          <w:numId w:val="10"/>
        </w:numPr>
        <w:spacing w:after="0" w:line="480" w:lineRule="auto"/>
        <w:rPr>
          <w:rFonts w:ascii="Garamond" w:hAnsi="Garamond"/>
          <w:sz w:val="24"/>
          <w:szCs w:val="24"/>
        </w:rPr>
      </w:pPr>
      <w:r w:rsidRPr="009338B0">
        <w:rPr>
          <w:position w:val="-32"/>
        </w:rPr>
        <w:object w:dxaOrig="6960" w:dyaOrig="760">
          <v:shape id="_x0000_i1033" type="#_x0000_t75" style="width:348pt;height:38.25pt" o:ole="">
            <v:imagedata r:id="rId27" o:title=""/>
          </v:shape>
          <o:OLEObject Type="Embed" ProgID="Equation.3" ShapeID="_x0000_i1033" DrawAspect="Content" ObjectID="_1489935304" r:id="rId28"/>
        </w:object>
      </w:r>
    </w:p>
    <w:p w:rsidR="009A4603" w:rsidRDefault="007426E5" w:rsidP="007426E5">
      <w:pPr>
        <w:spacing w:after="0" w:line="480" w:lineRule="auto"/>
        <w:rPr>
          <w:rFonts w:ascii="Garamond" w:hAnsi="Garamond"/>
          <w:sz w:val="24"/>
          <w:szCs w:val="24"/>
        </w:rPr>
      </w:pPr>
      <w:r>
        <w:rPr>
          <w:rFonts w:ascii="Garamond" w:hAnsi="Garamond"/>
          <w:sz w:val="24"/>
          <w:szCs w:val="24"/>
        </w:rPr>
        <w:t>To identify the effect of changes in the sex composition on female labor market outcomes, i</w:t>
      </w:r>
      <w:r w:rsidR="0036448F">
        <w:rPr>
          <w:rFonts w:ascii="Garamond" w:hAnsi="Garamond"/>
          <w:sz w:val="24"/>
          <w:szCs w:val="24"/>
        </w:rPr>
        <w:t xml:space="preserve">n our empirical strategy we exploit how </w:t>
      </w:r>
      <w:r w:rsidR="00C50DB6">
        <w:rPr>
          <w:rFonts w:ascii="Garamond" w:hAnsi="Garamond"/>
          <w:sz w:val="24"/>
          <w:szCs w:val="24"/>
        </w:rPr>
        <w:t xml:space="preserve">international </w:t>
      </w:r>
      <w:r w:rsidR="0036448F">
        <w:rPr>
          <w:rFonts w:ascii="Garamond" w:hAnsi="Garamond"/>
          <w:sz w:val="24"/>
          <w:szCs w:val="24"/>
        </w:rPr>
        <w:t>mig</w:t>
      </w:r>
      <w:r>
        <w:rPr>
          <w:rFonts w:ascii="Garamond" w:hAnsi="Garamond"/>
          <w:sz w:val="24"/>
          <w:szCs w:val="24"/>
        </w:rPr>
        <w:t xml:space="preserve">ration influences the sex ratio. </w:t>
      </w:r>
      <w:r w:rsidR="00107A65">
        <w:rPr>
          <w:rFonts w:ascii="Garamond" w:hAnsi="Garamond"/>
          <w:sz w:val="24"/>
          <w:szCs w:val="24"/>
        </w:rPr>
        <w:t>We</w:t>
      </w:r>
      <w:r w:rsidR="00FC67A7">
        <w:rPr>
          <w:rFonts w:ascii="Garamond" w:hAnsi="Garamond"/>
          <w:sz w:val="24"/>
          <w:szCs w:val="24"/>
        </w:rPr>
        <w:t xml:space="preserve"> </w:t>
      </w:r>
      <w:r w:rsidR="00107A65">
        <w:rPr>
          <w:rFonts w:ascii="Garamond" w:hAnsi="Garamond"/>
          <w:sz w:val="24"/>
          <w:szCs w:val="24"/>
        </w:rPr>
        <w:t>use census data to establish if there is an</w:t>
      </w:r>
      <w:r w:rsidR="0036448F">
        <w:rPr>
          <w:rFonts w:ascii="Garamond" w:hAnsi="Garamond"/>
          <w:sz w:val="24"/>
          <w:szCs w:val="24"/>
        </w:rPr>
        <w:t xml:space="preserve"> empirical</w:t>
      </w:r>
      <w:r w:rsidR="00FC67A7">
        <w:rPr>
          <w:rFonts w:ascii="Garamond" w:hAnsi="Garamond"/>
          <w:sz w:val="24"/>
          <w:szCs w:val="24"/>
        </w:rPr>
        <w:t xml:space="preserve"> link between </w:t>
      </w:r>
      <w:r w:rsidR="009C4944">
        <w:rPr>
          <w:rFonts w:ascii="Garamond" w:hAnsi="Garamond"/>
          <w:sz w:val="24"/>
          <w:szCs w:val="24"/>
        </w:rPr>
        <w:t>int</w:t>
      </w:r>
      <w:r w:rsidR="009A4603">
        <w:rPr>
          <w:rFonts w:ascii="Garamond" w:hAnsi="Garamond"/>
          <w:sz w:val="24"/>
          <w:szCs w:val="24"/>
        </w:rPr>
        <w:t>ernational migration</w:t>
      </w:r>
      <w:r w:rsidR="00AD18FA">
        <w:rPr>
          <w:rFonts w:ascii="Garamond" w:hAnsi="Garamond"/>
          <w:sz w:val="24"/>
          <w:szCs w:val="24"/>
        </w:rPr>
        <w:t xml:space="preserve"> and sex</w:t>
      </w:r>
      <w:r w:rsidR="00FC67A7">
        <w:rPr>
          <w:rFonts w:ascii="Garamond" w:hAnsi="Garamond"/>
          <w:sz w:val="24"/>
          <w:szCs w:val="24"/>
        </w:rPr>
        <w:t xml:space="preserve"> ratios</w:t>
      </w:r>
      <w:r w:rsidR="00434AEE">
        <w:rPr>
          <w:rFonts w:ascii="Garamond" w:hAnsi="Garamond"/>
          <w:sz w:val="24"/>
          <w:szCs w:val="24"/>
        </w:rPr>
        <w:t xml:space="preserve"> across </w:t>
      </w:r>
      <w:r w:rsidR="00611D11">
        <w:rPr>
          <w:rFonts w:ascii="Garamond" w:hAnsi="Garamond"/>
          <w:sz w:val="24"/>
          <w:szCs w:val="24"/>
        </w:rPr>
        <w:t xml:space="preserve">Mexican </w:t>
      </w:r>
      <w:r w:rsidR="00434AEE">
        <w:rPr>
          <w:rFonts w:ascii="Garamond" w:hAnsi="Garamond"/>
          <w:sz w:val="24"/>
          <w:szCs w:val="24"/>
        </w:rPr>
        <w:t>states</w:t>
      </w:r>
      <w:r w:rsidR="00FC67A7">
        <w:rPr>
          <w:rFonts w:ascii="Garamond" w:hAnsi="Garamond"/>
          <w:sz w:val="24"/>
          <w:szCs w:val="24"/>
        </w:rPr>
        <w:t>.  Starting in the year 2000</w:t>
      </w:r>
      <w:r w:rsidR="005835D3">
        <w:rPr>
          <w:rFonts w:ascii="Garamond" w:hAnsi="Garamond"/>
          <w:sz w:val="24"/>
          <w:szCs w:val="24"/>
        </w:rPr>
        <w:t xml:space="preserve"> and continuing in 2010</w:t>
      </w:r>
      <w:r w:rsidR="00194152">
        <w:rPr>
          <w:rFonts w:ascii="Garamond" w:hAnsi="Garamond"/>
          <w:sz w:val="24"/>
          <w:szCs w:val="24"/>
        </w:rPr>
        <w:t xml:space="preserve"> the census includes a migration </w:t>
      </w:r>
      <w:r w:rsidR="00194152">
        <w:rPr>
          <w:rFonts w:ascii="Garamond" w:hAnsi="Garamond"/>
          <w:sz w:val="24"/>
          <w:szCs w:val="24"/>
        </w:rPr>
        <w:lastRenderedPageBreak/>
        <w:t>module that</w:t>
      </w:r>
      <w:r w:rsidR="00FC67A7">
        <w:rPr>
          <w:rFonts w:ascii="Garamond" w:hAnsi="Garamond"/>
          <w:sz w:val="24"/>
          <w:szCs w:val="24"/>
        </w:rPr>
        <w:t xml:space="preserve"> asks</w:t>
      </w:r>
      <w:r w:rsidR="00194152">
        <w:rPr>
          <w:rFonts w:ascii="Garamond" w:hAnsi="Garamond"/>
          <w:sz w:val="24"/>
          <w:szCs w:val="24"/>
        </w:rPr>
        <w:t xml:space="preserve"> households</w:t>
      </w:r>
      <w:r w:rsidR="00FC67A7">
        <w:rPr>
          <w:rFonts w:ascii="Garamond" w:hAnsi="Garamond"/>
          <w:sz w:val="24"/>
          <w:szCs w:val="24"/>
        </w:rPr>
        <w:t xml:space="preserve"> if any m</w:t>
      </w:r>
      <w:r w:rsidR="00194152">
        <w:rPr>
          <w:rFonts w:ascii="Garamond" w:hAnsi="Garamond"/>
          <w:sz w:val="24"/>
          <w:szCs w:val="24"/>
        </w:rPr>
        <w:t>ember had moved to</w:t>
      </w:r>
      <w:r w:rsidR="00FC67A7">
        <w:rPr>
          <w:rFonts w:ascii="Garamond" w:hAnsi="Garamond"/>
          <w:sz w:val="24"/>
          <w:szCs w:val="24"/>
        </w:rPr>
        <w:t xml:space="preserve"> or returned from abroad in the past five years.  We measure m</w:t>
      </w:r>
      <w:r w:rsidR="00243569">
        <w:rPr>
          <w:rFonts w:ascii="Garamond" w:hAnsi="Garamond"/>
          <w:sz w:val="24"/>
          <w:szCs w:val="24"/>
        </w:rPr>
        <w:t>igration incidence</w:t>
      </w:r>
      <w:r w:rsidR="009C4944">
        <w:rPr>
          <w:rFonts w:ascii="Garamond" w:hAnsi="Garamond"/>
          <w:sz w:val="24"/>
          <w:szCs w:val="24"/>
        </w:rPr>
        <w:t xml:space="preserve"> as the percentage of households in a state that report</w:t>
      </w:r>
      <w:r w:rsidR="000E5F87">
        <w:rPr>
          <w:rFonts w:ascii="Garamond" w:hAnsi="Garamond"/>
          <w:sz w:val="24"/>
          <w:szCs w:val="24"/>
        </w:rPr>
        <w:t>s</w:t>
      </w:r>
      <w:r w:rsidR="009C4944">
        <w:rPr>
          <w:rFonts w:ascii="Garamond" w:hAnsi="Garamond"/>
          <w:sz w:val="24"/>
          <w:szCs w:val="24"/>
        </w:rPr>
        <w:t xml:space="preserve"> having a member of their household migrate </w:t>
      </w:r>
      <w:r w:rsidR="000E5F87">
        <w:rPr>
          <w:rFonts w:ascii="Garamond" w:hAnsi="Garamond"/>
          <w:sz w:val="24"/>
          <w:szCs w:val="24"/>
        </w:rPr>
        <w:t>abroad in the past five years</w:t>
      </w:r>
      <w:r w:rsidR="00F01A50">
        <w:rPr>
          <w:rFonts w:ascii="Garamond" w:hAnsi="Garamond"/>
          <w:sz w:val="24"/>
          <w:szCs w:val="24"/>
        </w:rPr>
        <w:t>.</w:t>
      </w:r>
      <w:r w:rsidR="005835D3">
        <w:rPr>
          <w:rStyle w:val="FootnoteReference"/>
          <w:rFonts w:ascii="Garamond" w:hAnsi="Garamond"/>
          <w:sz w:val="24"/>
          <w:szCs w:val="24"/>
        </w:rPr>
        <w:footnoteReference w:id="8"/>
      </w:r>
      <w:r w:rsidR="000E5F87">
        <w:rPr>
          <w:rFonts w:ascii="Garamond" w:hAnsi="Garamond"/>
          <w:sz w:val="24"/>
          <w:szCs w:val="24"/>
        </w:rPr>
        <w:t xml:space="preserve"> </w:t>
      </w:r>
      <w:r w:rsidR="005835D3">
        <w:rPr>
          <w:rFonts w:ascii="Garamond" w:hAnsi="Garamond"/>
          <w:sz w:val="24"/>
          <w:szCs w:val="24"/>
        </w:rPr>
        <w:t xml:space="preserve">  W</w:t>
      </w:r>
      <w:r w:rsidR="002D453C">
        <w:rPr>
          <w:rFonts w:ascii="Garamond" w:hAnsi="Garamond"/>
          <w:sz w:val="24"/>
          <w:szCs w:val="24"/>
        </w:rPr>
        <w:t>e</w:t>
      </w:r>
      <w:r w:rsidR="005835D3">
        <w:rPr>
          <w:rFonts w:ascii="Garamond" w:hAnsi="Garamond"/>
          <w:sz w:val="24"/>
          <w:szCs w:val="24"/>
        </w:rPr>
        <w:t xml:space="preserve"> then</w:t>
      </w:r>
      <w:r w:rsidR="002D453C">
        <w:rPr>
          <w:rFonts w:ascii="Garamond" w:hAnsi="Garamond"/>
          <w:sz w:val="24"/>
          <w:szCs w:val="24"/>
        </w:rPr>
        <w:t xml:space="preserve"> </w:t>
      </w:r>
      <w:proofErr w:type="gramStart"/>
      <w:r w:rsidR="00AD18FA">
        <w:rPr>
          <w:rFonts w:ascii="Garamond" w:hAnsi="Garamond"/>
          <w:sz w:val="24"/>
          <w:szCs w:val="24"/>
        </w:rPr>
        <w:t>regress</w:t>
      </w:r>
      <w:proofErr w:type="gramEnd"/>
      <w:r w:rsidR="00AD18FA">
        <w:rPr>
          <w:rFonts w:ascii="Garamond" w:hAnsi="Garamond"/>
          <w:sz w:val="24"/>
          <w:szCs w:val="24"/>
        </w:rPr>
        <w:t xml:space="preserve"> the sex</w:t>
      </w:r>
      <w:r w:rsidR="009C4944">
        <w:rPr>
          <w:rFonts w:ascii="Garamond" w:hAnsi="Garamond"/>
          <w:sz w:val="24"/>
          <w:szCs w:val="24"/>
        </w:rPr>
        <w:t xml:space="preserve"> ratio for each cohort in a given state on the migration incidence for that state</w:t>
      </w:r>
      <w:r w:rsidR="002D453C">
        <w:rPr>
          <w:rFonts w:ascii="Garamond" w:hAnsi="Garamond"/>
          <w:sz w:val="24"/>
          <w:szCs w:val="24"/>
        </w:rPr>
        <w:t xml:space="preserve"> by census year</w:t>
      </w:r>
      <w:r w:rsidR="009C4944">
        <w:rPr>
          <w:rFonts w:ascii="Garamond" w:hAnsi="Garamond"/>
          <w:sz w:val="24"/>
          <w:szCs w:val="24"/>
        </w:rPr>
        <w:t xml:space="preserve">.  </w:t>
      </w:r>
      <w:r w:rsidR="002C379D">
        <w:rPr>
          <w:rFonts w:ascii="Garamond" w:hAnsi="Garamond"/>
          <w:sz w:val="24"/>
          <w:szCs w:val="24"/>
        </w:rPr>
        <w:t>P</w:t>
      </w:r>
      <w:r w:rsidR="002D453C">
        <w:rPr>
          <w:rFonts w:ascii="Garamond" w:hAnsi="Garamond"/>
          <w:sz w:val="24"/>
          <w:szCs w:val="24"/>
        </w:rPr>
        <w:t xml:space="preserve">anel </w:t>
      </w:r>
      <w:proofErr w:type="gramStart"/>
      <w:r w:rsidR="002D453C">
        <w:rPr>
          <w:rFonts w:ascii="Garamond" w:hAnsi="Garamond"/>
          <w:sz w:val="24"/>
          <w:szCs w:val="24"/>
        </w:rPr>
        <w:t>A</w:t>
      </w:r>
      <w:proofErr w:type="gramEnd"/>
      <w:r w:rsidR="002D453C">
        <w:rPr>
          <w:rFonts w:ascii="Garamond" w:hAnsi="Garamond"/>
          <w:sz w:val="24"/>
          <w:szCs w:val="24"/>
        </w:rPr>
        <w:t xml:space="preserve"> of </w:t>
      </w:r>
      <w:r w:rsidR="009C4944">
        <w:rPr>
          <w:rFonts w:ascii="Garamond" w:hAnsi="Garamond"/>
          <w:sz w:val="24"/>
          <w:szCs w:val="24"/>
        </w:rPr>
        <w:t>Table 1</w:t>
      </w:r>
      <w:r w:rsidR="009A4603">
        <w:rPr>
          <w:rFonts w:ascii="Garamond" w:hAnsi="Garamond"/>
          <w:sz w:val="24"/>
          <w:szCs w:val="24"/>
        </w:rPr>
        <w:t xml:space="preserve"> show</w:t>
      </w:r>
      <w:r w:rsidR="002C379D">
        <w:rPr>
          <w:rFonts w:ascii="Garamond" w:hAnsi="Garamond"/>
          <w:sz w:val="24"/>
          <w:szCs w:val="24"/>
        </w:rPr>
        <w:t>s</w:t>
      </w:r>
      <w:r w:rsidR="009A4603">
        <w:rPr>
          <w:rFonts w:ascii="Garamond" w:hAnsi="Garamond"/>
          <w:sz w:val="24"/>
          <w:szCs w:val="24"/>
        </w:rPr>
        <w:t xml:space="preserve"> a negative and significant relationship between the incidence of international migration and the ratio of men to women in all age cohorts.  For example, the coefficient on international migr</w:t>
      </w:r>
      <w:r w:rsidR="00A23FEB">
        <w:rPr>
          <w:rFonts w:ascii="Garamond" w:hAnsi="Garamond"/>
          <w:sz w:val="24"/>
          <w:szCs w:val="24"/>
        </w:rPr>
        <w:t>ation incidence in the first column</w:t>
      </w:r>
      <w:r w:rsidR="009A4603">
        <w:rPr>
          <w:rFonts w:ascii="Garamond" w:hAnsi="Garamond"/>
          <w:sz w:val="24"/>
          <w:szCs w:val="24"/>
        </w:rPr>
        <w:t xml:space="preserve"> implies that</w:t>
      </w:r>
      <w:r w:rsidR="00A23FEB">
        <w:rPr>
          <w:rFonts w:ascii="Garamond" w:hAnsi="Garamond"/>
          <w:sz w:val="24"/>
          <w:szCs w:val="24"/>
        </w:rPr>
        <w:t>, in the year 2000,</w:t>
      </w:r>
      <w:r w:rsidR="009A4603">
        <w:rPr>
          <w:rFonts w:ascii="Garamond" w:hAnsi="Garamond"/>
          <w:sz w:val="24"/>
          <w:szCs w:val="24"/>
        </w:rPr>
        <w:t xml:space="preserve"> a one </w:t>
      </w:r>
      <w:r w:rsidR="00A23FEB">
        <w:rPr>
          <w:rFonts w:ascii="Garamond" w:hAnsi="Garamond"/>
          <w:sz w:val="24"/>
          <w:szCs w:val="24"/>
        </w:rPr>
        <w:t xml:space="preserve">standard deviation increase </w:t>
      </w:r>
      <w:r w:rsidR="009A4603">
        <w:rPr>
          <w:rFonts w:ascii="Garamond" w:hAnsi="Garamond"/>
          <w:sz w:val="24"/>
          <w:szCs w:val="24"/>
        </w:rPr>
        <w:t>in the percentage of household</w:t>
      </w:r>
      <w:r w:rsidR="00A23FEB">
        <w:rPr>
          <w:rFonts w:ascii="Garamond" w:hAnsi="Garamond"/>
          <w:sz w:val="24"/>
          <w:szCs w:val="24"/>
        </w:rPr>
        <w:t>s</w:t>
      </w:r>
      <w:r w:rsidR="009A4603">
        <w:rPr>
          <w:rFonts w:ascii="Garamond" w:hAnsi="Garamond"/>
          <w:sz w:val="24"/>
          <w:szCs w:val="24"/>
        </w:rPr>
        <w:t xml:space="preserve"> with international migrants</w:t>
      </w:r>
      <w:r w:rsidR="00A23FEB">
        <w:rPr>
          <w:rFonts w:ascii="Garamond" w:hAnsi="Garamond"/>
          <w:sz w:val="24"/>
          <w:szCs w:val="24"/>
        </w:rPr>
        <w:t xml:space="preserve"> (3.6 percentage points)</w:t>
      </w:r>
      <w:r w:rsidR="009A4603">
        <w:rPr>
          <w:rFonts w:ascii="Garamond" w:hAnsi="Garamond"/>
          <w:sz w:val="24"/>
          <w:szCs w:val="24"/>
        </w:rPr>
        <w:t xml:space="preserve"> is associated with a decline in the</w:t>
      </w:r>
      <w:r w:rsidR="00194152">
        <w:rPr>
          <w:rFonts w:ascii="Garamond" w:hAnsi="Garamond"/>
          <w:sz w:val="24"/>
          <w:szCs w:val="24"/>
        </w:rPr>
        <w:t xml:space="preserve"> ratio o</w:t>
      </w:r>
      <w:r w:rsidR="00A23FEB">
        <w:rPr>
          <w:rFonts w:ascii="Garamond" w:hAnsi="Garamond"/>
          <w:sz w:val="24"/>
          <w:szCs w:val="24"/>
        </w:rPr>
        <w:t>f men to women age 18-25 of 0.05</w:t>
      </w:r>
      <w:r w:rsidR="00C50DB6">
        <w:rPr>
          <w:rFonts w:ascii="Garamond" w:hAnsi="Garamond"/>
          <w:sz w:val="24"/>
          <w:szCs w:val="24"/>
        </w:rPr>
        <w:t xml:space="preserve"> (</w:t>
      </w:r>
      <w:r w:rsidR="00A23FEB" w:rsidRPr="00A23FEB">
        <w:rPr>
          <w:rFonts w:ascii="Garamond" w:hAnsi="Garamond"/>
          <w:sz w:val="24"/>
          <w:szCs w:val="24"/>
        </w:rPr>
        <w:t xml:space="preserve"> 5.5% of the mean</w:t>
      </w:r>
      <w:r w:rsidR="00C50DB6">
        <w:rPr>
          <w:rFonts w:ascii="Garamond" w:hAnsi="Garamond"/>
          <w:sz w:val="24"/>
          <w:szCs w:val="24"/>
        </w:rPr>
        <w:t>)</w:t>
      </w:r>
      <w:r w:rsidR="009A4603" w:rsidRPr="00A23FEB">
        <w:rPr>
          <w:rFonts w:ascii="Garamond" w:hAnsi="Garamond"/>
          <w:sz w:val="24"/>
          <w:szCs w:val="24"/>
        </w:rPr>
        <w:t xml:space="preserve">.  </w:t>
      </w:r>
      <w:r w:rsidR="00A23FEB" w:rsidRPr="00A23FEB">
        <w:rPr>
          <w:rFonts w:ascii="Garamond" w:hAnsi="Garamond"/>
          <w:sz w:val="24"/>
          <w:szCs w:val="24"/>
        </w:rPr>
        <w:t>These numbers are large, they imply that</w:t>
      </w:r>
      <w:r w:rsidR="009A4603" w:rsidRPr="00A23FEB">
        <w:rPr>
          <w:rFonts w:ascii="Garamond" w:hAnsi="Garamond"/>
          <w:sz w:val="24"/>
          <w:szCs w:val="24"/>
        </w:rPr>
        <w:t xml:space="preserve"> states with the highest</w:t>
      </w:r>
      <w:r w:rsidR="00194152" w:rsidRPr="00A23FEB">
        <w:rPr>
          <w:rFonts w:ascii="Garamond" w:hAnsi="Garamond"/>
          <w:sz w:val="24"/>
          <w:szCs w:val="24"/>
        </w:rPr>
        <w:t xml:space="preserve"> migration incidence (over 10% higher than states with the lowest migration incidence)</w:t>
      </w:r>
      <w:r w:rsidR="00AD18FA">
        <w:rPr>
          <w:rFonts w:ascii="Garamond" w:hAnsi="Garamond"/>
          <w:sz w:val="24"/>
          <w:szCs w:val="24"/>
        </w:rPr>
        <w:t xml:space="preserve"> are predicted to have sex</w:t>
      </w:r>
      <w:r w:rsidR="009A4603" w:rsidRPr="00A23FEB">
        <w:rPr>
          <w:rFonts w:ascii="Garamond" w:hAnsi="Garamond"/>
          <w:sz w:val="24"/>
          <w:szCs w:val="24"/>
        </w:rPr>
        <w:t xml:space="preserve"> ratios that are</w:t>
      </w:r>
      <w:r w:rsidR="00194152" w:rsidRPr="00A23FEB">
        <w:rPr>
          <w:rFonts w:ascii="Garamond" w:hAnsi="Garamond"/>
          <w:sz w:val="24"/>
          <w:szCs w:val="24"/>
        </w:rPr>
        <w:t xml:space="preserve"> approximately</w:t>
      </w:r>
      <w:r w:rsidR="00A23FEB" w:rsidRPr="00A23FEB">
        <w:rPr>
          <w:rFonts w:ascii="Garamond" w:hAnsi="Garamond"/>
          <w:sz w:val="24"/>
          <w:szCs w:val="24"/>
        </w:rPr>
        <w:t xml:space="preserve"> 0.1</w:t>
      </w:r>
      <w:r w:rsidR="009A4603" w:rsidRPr="00A23FEB">
        <w:rPr>
          <w:rFonts w:ascii="Garamond" w:hAnsi="Garamond"/>
          <w:sz w:val="24"/>
          <w:szCs w:val="24"/>
        </w:rPr>
        <w:t xml:space="preserve"> lower than state</w:t>
      </w:r>
      <w:r w:rsidR="00194152" w:rsidRPr="00A23FEB">
        <w:rPr>
          <w:rFonts w:ascii="Garamond" w:hAnsi="Garamond"/>
          <w:sz w:val="24"/>
          <w:szCs w:val="24"/>
        </w:rPr>
        <w:t>s</w:t>
      </w:r>
      <w:r w:rsidR="009A4603" w:rsidRPr="00A23FEB">
        <w:rPr>
          <w:rFonts w:ascii="Garamond" w:hAnsi="Garamond"/>
          <w:sz w:val="24"/>
          <w:szCs w:val="24"/>
        </w:rPr>
        <w:t xml:space="preserve"> with the</w:t>
      </w:r>
      <w:r w:rsidR="00887B9B" w:rsidRPr="00A23FEB">
        <w:rPr>
          <w:rFonts w:ascii="Garamond" w:hAnsi="Garamond"/>
          <w:sz w:val="24"/>
          <w:szCs w:val="24"/>
        </w:rPr>
        <w:t xml:space="preserve"> lowest migration incidence.  </w:t>
      </w:r>
      <w:r w:rsidR="00A23FEB" w:rsidRPr="00A23FEB">
        <w:rPr>
          <w:rFonts w:ascii="Garamond" w:hAnsi="Garamond"/>
          <w:sz w:val="24"/>
          <w:szCs w:val="24"/>
        </w:rPr>
        <w:t>This constitutes the di</w:t>
      </w:r>
      <w:r w:rsidR="00A23FEB">
        <w:rPr>
          <w:rFonts w:ascii="Garamond" w:hAnsi="Garamond"/>
          <w:sz w:val="24"/>
          <w:szCs w:val="24"/>
        </w:rPr>
        <w:t>fference</w:t>
      </w:r>
      <w:r w:rsidR="00AD18FA">
        <w:rPr>
          <w:rFonts w:ascii="Garamond" w:hAnsi="Garamond"/>
          <w:sz w:val="24"/>
          <w:szCs w:val="24"/>
        </w:rPr>
        <w:t xml:space="preserve"> between a fully balanced sex ratio of one</w:t>
      </w:r>
      <w:r w:rsidR="00A23FEB">
        <w:rPr>
          <w:rFonts w:ascii="Garamond" w:hAnsi="Garamond"/>
          <w:sz w:val="24"/>
          <w:szCs w:val="24"/>
        </w:rPr>
        <w:t xml:space="preserve"> to a very unbalanced ratio of 0.9.  </w:t>
      </w:r>
      <w:r w:rsidR="00887B9B" w:rsidRPr="00A23FEB">
        <w:rPr>
          <w:rFonts w:ascii="Garamond" w:hAnsi="Garamond"/>
          <w:sz w:val="24"/>
          <w:szCs w:val="24"/>
        </w:rPr>
        <w:t>Furthermore,</w:t>
      </w:r>
      <w:r w:rsidR="00945287" w:rsidRPr="00A23FEB">
        <w:rPr>
          <w:rFonts w:ascii="Garamond" w:hAnsi="Garamond"/>
          <w:sz w:val="24"/>
          <w:szCs w:val="24"/>
        </w:rPr>
        <w:t xml:space="preserve"> international migration incidence can explain</w:t>
      </w:r>
      <w:r w:rsidR="00887B9B" w:rsidRPr="00A23FEB">
        <w:rPr>
          <w:rFonts w:ascii="Garamond" w:hAnsi="Garamond"/>
          <w:sz w:val="24"/>
          <w:szCs w:val="24"/>
        </w:rPr>
        <w:t xml:space="preserve"> a large p</w:t>
      </w:r>
      <w:r w:rsidR="00AD18FA">
        <w:rPr>
          <w:rFonts w:ascii="Garamond" w:hAnsi="Garamond"/>
          <w:sz w:val="24"/>
          <w:szCs w:val="24"/>
        </w:rPr>
        <w:t>ercentage of the variation in sex</w:t>
      </w:r>
      <w:r w:rsidR="00887B9B">
        <w:rPr>
          <w:rFonts w:ascii="Garamond" w:hAnsi="Garamond"/>
          <w:sz w:val="24"/>
          <w:szCs w:val="24"/>
        </w:rPr>
        <w:t xml:space="preserve"> ratios across states.  For example, in the year 2000</w:t>
      </w:r>
      <w:r w:rsidR="00CF65E8">
        <w:rPr>
          <w:rFonts w:ascii="Garamond" w:hAnsi="Garamond"/>
          <w:sz w:val="24"/>
          <w:szCs w:val="24"/>
        </w:rPr>
        <w:t>,</w:t>
      </w:r>
      <w:r w:rsidR="00887B9B">
        <w:rPr>
          <w:rFonts w:ascii="Garamond" w:hAnsi="Garamond"/>
          <w:sz w:val="24"/>
          <w:szCs w:val="24"/>
        </w:rPr>
        <w:t xml:space="preserve"> 53</w:t>
      </w:r>
      <w:r w:rsidR="00945287">
        <w:rPr>
          <w:rFonts w:ascii="Garamond" w:hAnsi="Garamond"/>
          <w:sz w:val="24"/>
          <w:szCs w:val="24"/>
        </w:rPr>
        <w:t>% of the variati</w:t>
      </w:r>
      <w:r w:rsidR="00887B9B">
        <w:rPr>
          <w:rFonts w:ascii="Garamond" w:hAnsi="Garamond"/>
          <w:sz w:val="24"/>
          <w:szCs w:val="24"/>
        </w:rPr>
        <w:t xml:space="preserve">on in the </w:t>
      </w:r>
      <w:r w:rsidR="00AD18FA">
        <w:rPr>
          <w:rFonts w:ascii="Garamond" w:hAnsi="Garamond"/>
          <w:sz w:val="24"/>
          <w:szCs w:val="24"/>
        </w:rPr>
        <w:t xml:space="preserve">sex </w:t>
      </w:r>
      <w:r w:rsidR="00887B9B">
        <w:rPr>
          <w:rFonts w:ascii="Garamond" w:hAnsi="Garamond"/>
          <w:sz w:val="24"/>
          <w:szCs w:val="24"/>
        </w:rPr>
        <w:t>ratios of 18-25</w:t>
      </w:r>
      <w:r w:rsidR="00945287">
        <w:rPr>
          <w:rFonts w:ascii="Garamond" w:hAnsi="Garamond"/>
          <w:sz w:val="24"/>
          <w:szCs w:val="24"/>
        </w:rPr>
        <w:t xml:space="preserve"> year olds </w:t>
      </w:r>
      <w:r w:rsidR="00887B9B">
        <w:rPr>
          <w:rFonts w:ascii="Garamond" w:hAnsi="Garamond"/>
          <w:sz w:val="24"/>
          <w:szCs w:val="24"/>
        </w:rPr>
        <w:t>and 67</w:t>
      </w:r>
      <w:r w:rsidR="00AD18FA">
        <w:rPr>
          <w:rFonts w:ascii="Garamond" w:hAnsi="Garamond"/>
          <w:sz w:val="24"/>
          <w:szCs w:val="24"/>
        </w:rPr>
        <w:t>% of the variation in the sex</w:t>
      </w:r>
      <w:r w:rsidR="00107A65">
        <w:rPr>
          <w:rFonts w:ascii="Garamond" w:hAnsi="Garamond"/>
          <w:sz w:val="24"/>
          <w:szCs w:val="24"/>
        </w:rPr>
        <w:t xml:space="preserve"> ratios</w:t>
      </w:r>
      <w:r w:rsidR="00887B9B">
        <w:rPr>
          <w:rFonts w:ascii="Garamond" w:hAnsi="Garamond"/>
          <w:sz w:val="24"/>
          <w:szCs w:val="24"/>
        </w:rPr>
        <w:t xml:space="preserve"> of 26-33 year olds can be explained by international migration incidence.  </w:t>
      </w:r>
      <w:r w:rsidR="00945287">
        <w:rPr>
          <w:rFonts w:ascii="Garamond" w:hAnsi="Garamond"/>
          <w:sz w:val="24"/>
          <w:szCs w:val="24"/>
        </w:rPr>
        <w:t xml:space="preserve">  </w:t>
      </w:r>
      <w:r w:rsidR="009A4603">
        <w:rPr>
          <w:rFonts w:ascii="Garamond" w:hAnsi="Garamond"/>
          <w:sz w:val="24"/>
          <w:szCs w:val="24"/>
        </w:rPr>
        <w:t xml:space="preserve"> </w:t>
      </w:r>
    </w:p>
    <w:p w:rsidR="003526A2" w:rsidRDefault="00945287" w:rsidP="009C4944">
      <w:pPr>
        <w:spacing w:after="0" w:line="480" w:lineRule="auto"/>
        <w:ind w:firstLine="432"/>
        <w:rPr>
          <w:rFonts w:ascii="Garamond" w:hAnsi="Garamond"/>
          <w:sz w:val="24"/>
          <w:szCs w:val="24"/>
        </w:rPr>
      </w:pPr>
      <w:r>
        <w:rPr>
          <w:rFonts w:ascii="Garamond" w:hAnsi="Garamond"/>
          <w:sz w:val="24"/>
          <w:szCs w:val="24"/>
        </w:rPr>
        <w:t>To</w:t>
      </w:r>
      <w:r w:rsidR="00E04EBC">
        <w:rPr>
          <w:rFonts w:ascii="Garamond" w:hAnsi="Garamond"/>
          <w:sz w:val="24"/>
          <w:szCs w:val="24"/>
        </w:rPr>
        <w:t xml:space="preserve"> further</w:t>
      </w:r>
      <w:r>
        <w:rPr>
          <w:rFonts w:ascii="Garamond" w:hAnsi="Garamond"/>
          <w:sz w:val="24"/>
          <w:szCs w:val="24"/>
        </w:rPr>
        <w:t xml:space="preserve"> test </w:t>
      </w:r>
      <w:r w:rsidR="00107A65">
        <w:rPr>
          <w:rFonts w:ascii="Garamond" w:hAnsi="Garamond"/>
          <w:sz w:val="24"/>
          <w:szCs w:val="24"/>
        </w:rPr>
        <w:t xml:space="preserve">if international migration </w:t>
      </w:r>
      <w:r w:rsidR="001A28AD">
        <w:rPr>
          <w:rFonts w:ascii="Garamond" w:hAnsi="Garamond"/>
          <w:sz w:val="24"/>
          <w:szCs w:val="24"/>
        </w:rPr>
        <w:t xml:space="preserve">explains sex ratio imbalances in Mexico, </w:t>
      </w:r>
      <w:r w:rsidR="00107A65">
        <w:rPr>
          <w:rFonts w:ascii="Garamond" w:hAnsi="Garamond"/>
          <w:sz w:val="24"/>
          <w:szCs w:val="24"/>
        </w:rPr>
        <w:t xml:space="preserve">we examine </w:t>
      </w:r>
      <w:r>
        <w:rPr>
          <w:rFonts w:ascii="Garamond" w:hAnsi="Garamond"/>
          <w:sz w:val="24"/>
          <w:szCs w:val="24"/>
        </w:rPr>
        <w:t>the relations</w:t>
      </w:r>
      <w:r w:rsidR="00AD18FA">
        <w:rPr>
          <w:rFonts w:ascii="Garamond" w:hAnsi="Garamond"/>
          <w:sz w:val="24"/>
          <w:szCs w:val="24"/>
        </w:rPr>
        <w:t>hip between</w:t>
      </w:r>
      <w:r w:rsidR="00107A65">
        <w:rPr>
          <w:rFonts w:ascii="Garamond" w:hAnsi="Garamond"/>
          <w:sz w:val="24"/>
          <w:szCs w:val="24"/>
        </w:rPr>
        <w:t xml:space="preserve"> another potential cause of missing men—</w:t>
      </w:r>
      <w:r w:rsidR="00AD18FA">
        <w:rPr>
          <w:rFonts w:ascii="Garamond" w:hAnsi="Garamond"/>
          <w:sz w:val="24"/>
          <w:szCs w:val="24"/>
        </w:rPr>
        <w:t>homicides</w:t>
      </w:r>
      <w:r w:rsidR="00107A65">
        <w:rPr>
          <w:rFonts w:ascii="Garamond" w:hAnsi="Garamond"/>
          <w:sz w:val="24"/>
          <w:szCs w:val="24"/>
        </w:rPr>
        <w:t>--</w:t>
      </w:r>
      <w:r w:rsidR="00AD18FA">
        <w:rPr>
          <w:rFonts w:ascii="Garamond" w:hAnsi="Garamond"/>
          <w:sz w:val="24"/>
          <w:szCs w:val="24"/>
        </w:rPr>
        <w:t xml:space="preserve"> and sex</w:t>
      </w:r>
      <w:r>
        <w:rPr>
          <w:rFonts w:ascii="Garamond" w:hAnsi="Garamond"/>
          <w:sz w:val="24"/>
          <w:szCs w:val="24"/>
        </w:rPr>
        <w:t xml:space="preserve"> ratios in the year 2</w:t>
      </w:r>
      <w:r w:rsidR="00E055E8">
        <w:rPr>
          <w:rFonts w:ascii="Garamond" w:hAnsi="Garamond"/>
          <w:sz w:val="24"/>
          <w:szCs w:val="24"/>
        </w:rPr>
        <w:t>010.  From 2007 to 2010 Mexico experienced a dramatic in</w:t>
      </w:r>
      <w:r w:rsidR="001A28AD">
        <w:rPr>
          <w:rFonts w:ascii="Garamond" w:hAnsi="Garamond"/>
          <w:sz w:val="24"/>
          <w:szCs w:val="24"/>
        </w:rPr>
        <w:t>crease in homicides due to a drug w</w:t>
      </w:r>
      <w:r w:rsidR="00E055E8">
        <w:rPr>
          <w:rFonts w:ascii="Garamond" w:hAnsi="Garamond"/>
          <w:sz w:val="24"/>
          <w:szCs w:val="24"/>
        </w:rPr>
        <w:t>ar, which began in late 2006 after the government, for the first time, launched an attack on drug trafficking organ</w:t>
      </w:r>
      <w:r w:rsidR="00107A65">
        <w:rPr>
          <w:rFonts w:ascii="Garamond" w:hAnsi="Garamond"/>
          <w:sz w:val="24"/>
          <w:szCs w:val="24"/>
        </w:rPr>
        <w:t>izations.  The homicides</w:t>
      </w:r>
      <w:r w:rsidR="00E055E8">
        <w:rPr>
          <w:rFonts w:ascii="Garamond" w:hAnsi="Garamond"/>
          <w:sz w:val="24"/>
          <w:szCs w:val="24"/>
        </w:rPr>
        <w:t xml:space="preserve"> have be</w:t>
      </w:r>
      <w:r w:rsidR="00107A65">
        <w:rPr>
          <w:rFonts w:ascii="Garamond" w:hAnsi="Garamond"/>
          <w:sz w:val="24"/>
          <w:szCs w:val="24"/>
        </w:rPr>
        <w:t>en concentrated among young men</w:t>
      </w:r>
      <w:r w:rsidR="00E055E8">
        <w:rPr>
          <w:rFonts w:ascii="Garamond" w:hAnsi="Garamond"/>
          <w:sz w:val="24"/>
          <w:szCs w:val="24"/>
        </w:rPr>
        <w:t xml:space="preserve"> and in a small </w:t>
      </w:r>
      <w:r w:rsidR="00E055E8">
        <w:rPr>
          <w:rFonts w:ascii="Garamond" w:hAnsi="Garamond"/>
          <w:sz w:val="24"/>
          <w:szCs w:val="24"/>
        </w:rPr>
        <w:lastRenderedPageBreak/>
        <w:t>number</w:t>
      </w:r>
      <w:r w:rsidR="00243569">
        <w:rPr>
          <w:rFonts w:ascii="Garamond" w:hAnsi="Garamond"/>
          <w:sz w:val="24"/>
          <w:szCs w:val="24"/>
        </w:rPr>
        <w:t xml:space="preserve"> of states (authors’ calculations from INEGI data)</w:t>
      </w:r>
      <w:r w:rsidR="00E055E8">
        <w:rPr>
          <w:rFonts w:ascii="Garamond" w:hAnsi="Garamond"/>
          <w:sz w:val="24"/>
          <w:szCs w:val="24"/>
        </w:rPr>
        <w:t>.  Given this variation across age cohorts and states, homicides over this period al</w:t>
      </w:r>
      <w:r w:rsidR="00AD18FA">
        <w:rPr>
          <w:rFonts w:ascii="Garamond" w:hAnsi="Garamond"/>
          <w:sz w:val="24"/>
          <w:szCs w:val="24"/>
        </w:rPr>
        <w:t>so might explain changing sex</w:t>
      </w:r>
      <w:r w:rsidR="00E055E8">
        <w:rPr>
          <w:rFonts w:ascii="Garamond" w:hAnsi="Garamond"/>
          <w:sz w:val="24"/>
          <w:szCs w:val="24"/>
        </w:rPr>
        <w:t xml:space="preserve"> ratios.  As shown in panel B of Table 2, however, this is not the case.  Using two measures of homicides—the total per 100,000 inhabitants in the year 2010 and the totals for 2007 to 2010 per 100,000 inhabitants—we find no negative relationship betwe</w:t>
      </w:r>
      <w:r w:rsidR="00AD18FA">
        <w:rPr>
          <w:rFonts w:ascii="Garamond" w:hAnsi="Garamond"/>
          <w:sz w:val="24"/>
          <w:szCs w:val="24"/>
        </w:rPr>
        <w:t>en either measure and the sex</w:t>
      </w:r>
      <w:r w:rsidR="00E055E8">
        <w:rPr>
          <w:rFonts w:ascii="Garamond" w:hAnsi="Garamond"/>
          <w:sz w:val="24"/>
          <w:szCs w:val="24"/>
        </w:rPr>
        <w:t xml:space="preserve"> ratio for any cohort</w:t>
      </w:r>
      <w:r w:rsidR="00194152">
        <w:rPr>
          <w:rFonts w:ascii="Garamond" w:hAnsi="Garamond"/>
          <w:sz w:val="24"/>
          <w:szCs w:val="24"/>
        </w:rPr>
        <w:t>.  All of the</w:t>
      </w:r>
      <w:r w:rsidR="00C50DB6">
        <w:rPr>
          <w:rFonts w:ascii="Garamond" w:hAnsi="Garamond"/>
          <w:sz w:val="24"/>
          <w:szCs w:val="24"/>
        </w:rPr>
        <w:t xml:space="preserve"> coefficients are close to zero, </w:t>
      </w:r>
      <w:r w:rsidR="00194152">
        <w:rPr>
          <w:rFonts w:ascii="Garamond" w:hAnsi="Garamond"/>
          <w:sz w:val="24"/>
          <w:szCs w:val="24"/>
        </w:rPr>
        <w:t>no</w:t>
      </w:r>
      <w:r w:rsidR="002B7D61">
        <w:rPr>
          <w:rFonts w:ascii="Garamond" w:hAnsi="Garamond"/>
          <w:sz w:val="24"/>
          <w:szCs w:val="24"/>
        </w:rPr>
        <w:t>ne are significant and</w:t>
      </w:r>
      <w:r w:rsidR="00194152">
        <w:rPr>
          <w:rFonts w:ascii="Garamond" w:hAnsi="Garamond"/>
          <w:sz w:val="24"/>
          <w:szCs w:val="24"/>
        </w:rPr>
        <w:t xml:space="preserve"> t</w:t>
      </w:r>
      <w:r w:rsidR="00E055E8">
        <w:rPr>
          <w:rFonts w:ascii="Garamond" w:hAnsi="Garamond"/>
          <w:sz w:val="24"/>
          <w:szCs w:val="24"/>
        </w:rPr>
        <w:t>he R-square</w:t>
      </w:r>
      <w:r w:rsidR="00243569">
        <w:rPr>
          <w:rFonts w:ascii="Garamond" w:hAnsi="Garamond"/>
          <w:sz w:val="24"/>
          <w:szCs w:val="24"/>
        </w:rPr>
        <w:t>d values</w:t>
      </w:r>
      <w:r w:rsidR="002B7D61">
        <w:rPr>
          <w:rFonts w:ascii="Garamond" w:hAnsi="Garamond"/>
          <w:sz w:val="24"/>
          <w:szCs w:val="24"/>
        </w:rPr>
        <w:t xml:space="preserve"> are quite low,</w:t>
      </w:r>
      <w:r w:rsidR="00E055E8">
        <w:rPr>
          <w:rFonts w:ascii="Garamond" w:hAnsi="Garamond"/>
          <w:sz w:val="24"/>
          <w:szCs w:val="24"/>
        </w:rPr>
        <w:t xml:space="preserve"> showing that homicides explain very l</w:t>
      </w:r>
      <w:r w:rsidR="00AD18FA">
        <w:rPr>
          <w:rFonts w:ascii="Garamond" w:hAnsi="Garamond"/>
          <w:sz w:val="24"/>
          <w:szCs w:val="24"/>
        </w:rPr>
        <w:t>ittle of the variation in sex</w:t>
      </w:r>
      <w:r w:rsidR="00E055E8">
        <w:rPr>
          <w:rFonts w:ascii="Garamond" w:hAnsi="Garamond"/>
          <w:sz w:val="24"/>
          <w:szCs w:val="24"/>
        </w:rPr>
        <w:t xml:space="preserve"> ratios across sta</w:t>
      </w:r>
      <w:r w:rsidR="00194152">
        <w:rPr>
          <w:rFonts w:ascii="Garamond" w:hAnsi="Garamond"/>
          <w:sz w:val="24"/>
          <w:szCs w:val="24"/>
        </w:rPr>
        <w:t>tes.</w:t>
      </w:r>
      <w:r w:rsidR="00107A65">
        <w:rPr>
          <w:rStyle w:val="FootnoteReference"/>
          <w:rFonts w:ascii="Garamond" w:hAnsi="Garamond"/>
          <w:sz w:val="24"/>
          <w:szCs w:val="24"/>
        </w:rPr>
        <w:footnoteReference w:id="9"/>
      </w:r>
      <w:r w:rsidR="00194152">
        <w:rPr>
          <w:rFonts w:ascii="Garamond" w:hAnsi="Garamond"/>
          <w:sz w:val="24"/>
          <w:szCs w:val="24"/>
        </w:rPr>
        <w:t xml:space="preserve">  </w:t>
      </w:r>
    </w:p>
    <w:p w:rsidR="00174E38" w:rsidRDefault="00107A65" w:rsidP="00611D11">
      <w:pPr>
        <w:spacing w:after="0" w:line="480" w:lineRule="auto"/>
        <w:ind w:firstLine="432"/>
        <w:rPr>
          <w:rFonts w:ascii="Garamond" w:hAnsi="Garamond"/>
          <w:sz w:val="24"/>
          <w:szCs w:val="24"/>
        </w:rPr>
      </w:pPr>
      <w:r>
        <w:rPr>
          <w:rFonts w:ascii="Garamond" w:hAnsi="Garamond"/>
          <w:sz w:val="24"/>
          <w:szCs w:val="24"/>
        </w:rPr>
        <w:t>Finally</w:t>
      </w:r>
      <w:r w:rsidR="005A66CC">
        <w:rPr>
          <w:rFonts w:ascii="Garamond" w:hAnsi="Garamond"/>
          <w:sz w:val="24"/>
          <w:szCs w:val="24"/>
        </w:rPr>
        <w:t>, we</w:t>
      </w:r>
      <w:r w:rsidR="000C0386">
        <w:rPr>
          <w:rFonts w:ascii="Garamond" w:hAnsi="Garamond"/>
          <w:sz w:val="24"/>
          <w:szCs w:val="24"/>
        </w:rPr>
        <w:t xml:space="preserve"> calculate</w:t>
      </w:r>
      <w:r w:rsidR="00AD18FA">
        <w:rPr>
          <w:rFonts w:ascii="Garamond" w:hAnsi="Garamond"/>
          <w:sz w:val="24"/>
          <w:szCs w:val="24"/>
        </w:rPr>
        <w:t xml:space="preserve"> sex</w:t>
      </w:r>
      <w:r w:rsidR="000C0386">
        <w:rPr>
          <w:rFonts w:ascii="Garamond" w:hAnsi="Garamond"/>
          <w:sz w:val="24"/>
          <w:szCs w:val="24"/>
        </w:rPr>
        <w:t xml:space="preserve"> ratios for</w:t>
      </w:r>
      <w:r w:rsidR="005A66CC">
        <w:rPr>
          <w:rFonts w:ascii="Garamond" w:hAnsi="Garamond"/>
          <w:sz w:val="24"/>
          <w:szCs w:val="24"/>
        </w:rPr>
        <w:t xml:space="preserve"> Mexican born </w:t>
      </w:r>
      <w:r w:rsidR="000C0386">
        <w:rPr>
          <w:rFonts w:ascii="Garamond" w:hAnsi="Garamond"/>
          <w:sz w:val="24"/>
          <w:szCs w:val="24"/>
        </w:rPr>
        <w:t>individuals in the U.S.,</w:t>
      </w:r>
      <w:r w:rsidR="005A66CC">
        <w:rPr>
          <w:rFonts w:ascii="Garamond" w:hAnsi="Garamond"/>
          <w:sz w:val="24"/>
          <w:szCs w:val="24"/>
        </w:rPr>
        <w:t xml:space="preserve"> the main destin</w:t>
      </w:r>
      <w:r w:rsidR="000C0386">
        <w:rPr>
          <w:rFonts w:ascii="Garamond" w:hAnsi="Garamond"/>
          <w:sz w:val="24"/>
          <w:szCs w:val="24"/>
        </w:rPr>
        <w:t xml:space="preserve">ation country for Mexican immigrants.  We use data from the U.S. Census and American Community Survey, accessed through IPUMS.  The results, presented </w:t>
      </w:r>
      <w:r w:rsidR="00AD18FA">
        <w:rPr>
          <w:rFonts w:ascii="Garamond" w:hAnsi="Garamond"/>
          <w:sz w:val="24"/>
          <w:szCs w:val="24"/>
        </w:rPr>
        <w:t>in Figure 3, show a clear sex</w:t>
      </w:r>
      <w:r w:rsidR="000C0386">
        <w:rPr>
          <w:rFonts w:ascii="Garamond" w:hAnsi="Garamond"/>
          <w:sz w:val="24"/>
          <w:szCs w:val="24"/>
        </w:rPr>
        <w:t xml:space="preserve"> imbalance for all years except </w:t>
      </w:r>
      <w:r w:rsidR="00377090">
        <w:rPr>
          <w:rFonts w:ascii="Garamond" w:hAnsi="Garamond"/>
          <w:sz w:val="24"/>
          <w:szCs w:val="24"/>
        </w:rPr>
        <w:t xml:space="preserve">in </w:t>
      </w:r>
      <w:r w:rsidR="000C0386">
        <w:rPr>
          <w:rFonts w:ascii="Garamond" w:hAnsi="Garamond"/>
          <w:sz w:val="24"/>
          <w:szCs w:val="24"/>
        </w:rPr>
        <w:t>1970</w:t>
      </w:r>
      <w:r w:rsidR="00C50DB6">
        <w:rPr>
          <w:rFonts w:ascii="Garamond" w:hAnsi="Garamond"/>
          <w:sz w:val="24"/>
          <w:szCs w:val="24"/>
        </w:rPr>
        <w:t xml:space="preserve"> for the 18</w:t>
      </w:r>
      <w:r w:rsidR="00D126B1">
        <w:rPr>
          <w:rFonts w:ascii="Garamond" w:hAnsi="Garamond"/>
          <w:sz w:val="24"/>
          <w:szCs w:val="24"/>
        </w:rPr>
        <w:t>-49 year old age range</w:t>
      </w:r>
      <w:r w:rsidR="005A66CC">
        <w:rPr>
          <w:rFonts w:ascii="Garamond" w:hAnsi="Garamond"/>
          <w:sz w:val="24"/>
          <w:szCs w:val="24"/>
        </w:rPr>
        <w:t>.</w:t>
      </w:r>
      <w:r w:rsidR="00AD18FA">
        <w:rPr>
          <w:rFonts w:ascii="Garamond" w:hAnsi="Garamond"/>
          <w:sz w:val="24"/>
          <w:szCs w:val="24"/>
        </w:rPr>
        <w:t xml:space="preserve">  The sex ratios are well above one</w:t>
      </w:r>
      <w:r w:rsidR="000C0386">
        <w:rPr>
          <w:rFonts w:ascii="Garamond" w:hAnsi="Garamond"/>
          <w:sz w:val="24"/>
          <w:szCs w:val="24"/>
        </w:rPr>
        <w:t>, and in some years and cohorts are as high at 1.5, which means there are 15 men for every 10 women in a particular age group.  This provides further evidence that large-s</w:t>
      </w:r>
      <w:r w:rsidR="00D126B1">
        <w:rPr>
          <w:rFonts w:ascii="Garamond" w:hAnsi="Garamond"/>
          <w:sz w:val="24"/>
          <w:szCs w:val="24"/>
        </w:rPr>
        <w:t>cale international migration</w:t>
      </w:r>
      <w:r w:rsidR="000C0386">
        <w:rPr>
          <w:rFonts w:ascii="Garamond" w:hAnsi="Garamond"/>
          <w:sz w:val="24"/>
          <w:szCs w:val="24"/>
        </w:rPr>
        <w:t xml:space="preserve"> led to declining ratios of men to women in Mexico.   </w:t>
      </w:r>
      <w:r w:rsidR="005A66CC">
        <w:rPr>
          <w:rFonts w:ascii="Garamond" w:hAnsi="Garamond"/>
          <w:sz w:val="24"/>
          <w:szCs w:val="24"/>
        </w:rPr>
        <w:t xml:space="preserve"> </w:t>
      </w:r>
    </w:p>
    <w:p w:rsidR="000B1B56" w:rsidRPr="00547EF3" w:rsidRDefault="00F02828" w:rsidP="00F405D2">
      <w:pPr>
        <w:numPr>
          <w:ilvl w:val="1"/>
          <w:numId w:val="1"/>
        </w:numPr>
        <w:spacing w:after="0" w:line="480" w:lineRule="auto"/>
        <w:rPr>
          <w:rFonts w:ascii="Garamond" w:hAnsi="Garamond"/>
          <w:b/>
          <w:sz w:val="24"/>
          <w:szCs w:val="24"/>
        </w:rPr>
      </w:pPr>
      <w:r>
        <w:rPr>
          <w:rFonts w:ascii="Garamond" w:hAnsi="Garamond"/>
          <w:b/>
          <w:sz w:val="24"/>
          <w:szCs w:val="24"/>
        </w:rPr>
        <w:t>L</w:t>
      </w:r>
      <w:r w:rsidR="000B1B56" w:rsidRPr="00547EF3">
        <w:rPr>
          <w:rFonts w:ascii="Garamond" w:hAnsi="Garamond"/>
          <w:b/>
          <w:sz w:val="24"/>
          <w:szCs w:val="24"/>
        </w:rPr>
        <w:t xml:space="preserve">abor force outcomes </w:t>
      </w:r>
    </w:p>
    <w:p w:rsidR="004134F7" w:rsidRDefault="005835D3" w:rsidP="009D532B">
      <w:pPr>
        <w:spacing w:after="0" w:line="480" w:lineRule="auto"/>
        <w:ind w:firstLine="432"/>
        <w:rPr>
          <w:rFonts w:ascii="Garamond" w:hAnsi="Garamond"/>
          <w:sz w:val="24"/>
          <w:szCs w:val="24"/>
        </w:rPr>
      </w:pPr>
      <w:r>
        <w:rPr>
          <w:rFonts w:ascii="Garamond" w:hAnsi="Garamond"/>
          <w:sz w:val="24"/>
          <w:szCs w:val="24"/>
        </w:rPr>
        <w:t>W</w:t>
      </w:r>
      <w:r w:rsidR="000B1B56">
        <w:rPr>
          <w:rFonts w:ascii="Garamond" w:hAnsi="Garamond"/>
          <w:sz w:val="24"/>
          <w:szCs w:val="24"/>
        </w:rPr>
        <w:t>e use</w:t>
      </w:r>
      <w:r>
        <w:rPr>
          <w:rFonts w:ascii="Garamond" w:hAnsi="Garamond"/>
          <w:sz w:val="24"/>
          <w:szCs w:val="24"/>
        </w:rPr>
        <w:t xml:space="preserve"> the </w:t>
      </w:r>
      <w:r w:rsidR="00E00677">
        <w:rPr>
          <w:rFonts w:ascii="Garamond" w:hAnsi="Garamond"/>
          <w:sz w:val="24"/>
          <w:szCs w:val="24"/>
        </w:rPr>
        <w:t xml:space="preserve">Mexican </w:t>
      </w:r>
      <w:r>
        <w:rPr>
          <w:rFonts w:ascii="Garamond" w:hAnsi="Garamond"/>
          <w:sz w:val="24"/>
          <w:szCs w:val="24"/>
        </w:rPr>
        <w:t>Census to define various</w:t>
      </w:r>
      <w:r w:rsidR="000B1B56">
        <w:rPr>
          <w:rFonts w:ascii="Garamond" w:hAnsi="Garamond"/>
          <w:sz w:val="24"/>
          <w:szCs w:val="24"/>
        </w:rPr>
        <w:t xml:space="preserve"> labor force outcomes</w:t>
      </w:r>
      <w:r w:rsidR="007A5B68">
        <w:rPr>
          <w:rFonts w:ascii="Garamond" w:hAnsi="Garamond"/>
          <w:sz w:val="24"/>
          <w:szCs w:val="24"/>
        </w:rPr>
        <w:t xml:space="preserve"> for women</w:t>
      </w:r>
      <w:r w:rsidR="00023E82">
        <w:rPr>
          <w:rFonts w:ascii="Garamond" w:hAnsi="Garamond"/>
          <w:sz w:val="24"/>
          <w:szCs w:val="24"/>
        </w:rPr>
        <w:t>.</w:t>
      </w:r>
      <w:r w:rsidR="00EB698E">
        <w:rPr>
          <w:rFonts w:ascii="Garamond" w:hAnsi="Garamond"/>
          <w:sz w:val="24"/>
          <w:szCs w:val="24"/>
        </w:rPr>
        <w:t xml:space="preserve">  </w:t>
      </w:r>
      <w:r w:rsidR="005526DC">
        <w:rPr>
          <w:rFonts w:ascii="Garamond" w:hAnsi="Garamond"/>
          <w:sz w:val="24"/>
          <w:szCs w:val="24"/>
        </w:rPr>
        <w:t>We start with</w:t>
      </w:r>
      <w:r w:rsidR="000B1B56">
        <w:rPr>
          <w:rFonts w:ascii="Garamond" w:hAnsi="Garamond"/>
          <w:sz w:val="24"/>
          <w:szCs w:val="24"/>
        </w:rPr>
        <w:t xml:space="preserve"> labor force participation, </w:t>
      </w:r>
      <w:r w:rsidR="007A5B68">
        <w:rPr>
          <w:rFonts w:ascii="Garamond" w:hAnsi="Garamond"/>
          <w:sz w:val="24"/>
          <w:szCs w:val="24"/>
        </w:rPr>
        <w:t>defined as the percentage of women in a cohort</w:t>
      </w:r>
      <w:r w:rsidR="005526DC">
        <w:rPr>
          <w:rFonts w:ascii="Garamond" w:hAnsi="Garamond"/>
          <w:sz w:val="24"/>
          <w:szCs w:val="24"/>
        </w:rPr>
        <w:t xml:space="preserve"> </w:t>
      </w:r>
      <w:r w:rsidR="00CF65E8">
        <w:rPr>
          <w:rFonts w:ascii="Garamond" w:hAnsi="Garamond"/>
          <w:sz w:val="24"/>
          <w:szCs w:val="24"/>
        </w:rPr>
        <w:t xml:space="preserve">and in </w:t>
      </w:r>
      <w:r w:rsidR="005526DC">
        <w:rPr>
          <w:rFonts w:ascii="Garamond" w:hAnsi="Garamond"/>
          <w:sz w:val="24"/>
          <w:szCs w:val="24"/>
        </w:rPr>
        <w:t>a state</w:t>
      </w:r>
      <w:r w:rsidR="007A5B68">
        <w:rPr>
          <w:rFonts w:ascii="Garamond" w:hAnsi="Garamond"/>
          <w:sz w:val="24"/>
          <w:szCs w:val="24"/>
        </w:rPr>
        <w:t xml:space="preserve"> that report</w:t>
      </w:r>
      <w:r w:rsidR="00CB11D8">
        <w:rPr>
          <w:rFonts w:ascii="Garamond" w:hAnsi="Garamond"/>
          <w:sz w:val="24"/>
          <w:szCs w:val="24"/>
        </w:rPr>
        <w:t>s</w:t>
      </w:r>
      <w:r w:rsidR="007A5B68">
        <w:rPr>
          <w:rFonts w:ascii="Garamond" w:hAnsi="Garamond"/>
          <w:sz w:val="24"/>
          <w:szCs w:val="24"/>
        </w:rPr>
        <w:t xml:space="preserve"> having an occupation</w:t>
      </w:r>
      <w:r w:rsidR="000870FB">
        <w:rPr>
          <w:rFonts w:ascii="Garamond" w:hAnsi="Garamond"/>
          <w:sz w:val="24"/>
          <w:szCs w:val="24"/>
        </w:rPr>
        <w:t xml:space="preserve">.  We use this in lieu of a measure based on an individual’s employment status, as this question was not added until the 1990 census. </w:t>
      </w:r>
      <w:r w:rsidR="007A5B68">
        <w:rPr>
          <w:rFonts w:ascii="Garamond" w:hAnsi="Garamond"/>
          <w:sz w:val="24"/>
          <w:szCs w:val="24"/>
        </w:rPr>
        <w:t xml:space="preserve"> </w:t>
      </w:r>
      <w:r w:rsidR="000870FB">
        <w:rPr>
          <w:rFonts w:ascii="Garamond" w:hAnsi="Garamond"/>
          <w:sz w:val="24"/>
          <w:szCs w:val="24"/>
        </w:rPr>
        <w:t xml:space="preserve">However, in </w:t>
      </w:r>
      <w:r w:rsidR="004134F7">
        <w:rPr>
          <w:rFonts w:ascii="Garamond" w:hAnsi="Garamond"/>
          <w:sz w:val="24"/>
          <w:szCs w:val="24"/>
        </w:rPr>
        <w:t xml:space="preserve">the years where both are available the overlap is quite high.  In 1990 98.7% of those who are employed report an occupation, while in 2000 and 2010, 98% and 99.1%, respectively, do so.   </w:t>
      </w:r>
    </w:p>
    <w:p w:rsidR="00C9772E" w:rsidRDefault="005526DC" w:rsidP="002A7CE8">
      <w:pPr>
        <w:spacing w:after="0" w:line="480" w:lineRule="auto"/>
        <w:ind w:firstLine="432"/>
        <w:rPr>
          <w:rFonts w:ascii="Garamond" w:hAnsi="Garamond"/>
          <w:sz w:val="24"/>
          <w:szCs w:val="24"/>
        </w:rPr>
      </w:pPr>
      <w:r>
        <w:rPr>
          <w:rFonts w:ascii="Garamond" w:hAnsi="Garamond"/>
          <w:sz w:val="24"/>
          <w:szCs w:val="24"/>
        </w:rPr>
        <w:lastRenderedPageBreak/>
        <w:t xml:space="preserve">We next consider the percentage of women in the labor </w:t>
      </w:r>
      <w:r w:rsidR="001229A1">
        <w:rPr>
          <w:rFonts w:ascii="Garamond" w:hAnsi="Garamond"/>
          <w:sz w:val="24"/>
          <w:szCs w:val="24"/>
        </w:rPr>
        <w:t xml:space="preserve">force who are employed in </w:t>
      </w:r>
      <w:r w:rsidR="004526F8">
        <w:rPr>
          <w:rFonts w:ascii="Garamond" w:hAnsi="Garamond"/>
          <w:sz w:val="24"/>
          <w:szCs w:val="24"/>
        </w:rPr>
        <w:t>j</w:t>
      </w:r>
      <w:r w:rsidR="002A7CE8">
        <w:rPr>
          <w:rFonts w:ascii="Garamond" w:hAnsi="Garamond"/>
          <w:sz w:val="24"/>
          <w:szCs w:val="24"/>
        </w:rPr>
        <w:t>obs defined as white collar</w:t>
      </w:r>
      <w:r w:rsidR="00C9772E">
        <w:rPr>
          <w:rFonts w:ascii="Garamond" w:hAnsi="Garamond"/>
          <w:sz w:val="24"/>
          <w:szCs w:val="24"/>
        </w:rPr>
        <w:t>/blue collar jobs, as</w:t>
      </w:r>
      <w:r w:rsidR="002A7CE8">
        <w:rPr>
          <w:rFonts w:ascii="Garamond" w:hAnsi="Garamond"/>
          <w:sz w:val="24"/>
          <w:szCs w:val="24"/>
        </w:rPr>
        <w:t xml:space="preserve"> </w:t>
      </w:r>
      <w:r w:rsidR="004526F8">
        <w:rPr>
          <w:rFonts w:ascii="Garamond" w:hAnsi="Garamond"/>
          <w:sz w:val="24"/>
          <w:szCs w:val="24"/>
        </w:rPr>
        <w:t>“brain”</w:t>
      </w:r>
      <w:r w:rsidR="00C9772E">
        <w:rPr>
          <w:rFonts w:ascii="Garamond" w:hAnsi="Garamond"/>
          <w:sz w:val="24"/>
          <w:szCs w:val="24"/>
        </w:rPr>
        <w:t>/ “brawn”</w:t>
      </w:r>
      <w:r w:rsidR="004526F8">
        <w:rPr>
          <w:rFonts w:ascii="Garamond" w:hAnsi="Garamond"/>
          <w:sz w:val="24"/>
          <w:szCs w:val="24"/>
        </w:rPr>
        <w:t xml:space="preserve"> jobs</w:t>
      </w:r>
      <w:r w:rsidR="00C9772E">
        <w:rPr>
          <w:rFonts w:ascii="Garamond" w:hAnsi="Garamond"/>
          <w:sz w:val="24"/>
          <w:szCs w:val="24"/>
        </w:rPr>
        <w:t xml:space="preserve"> and as “male dominated” jobs</w:t>
      </w:r>
      <w:r w:rsidR="004526F8">
        <w:rPr>
          <w:rFonts w:ascii="Garamond" w:hAnsi="Garamond"/>
          <w:sz w:val="24"/>
          <w:szCs w:val="24"/>
        </w:rPr>
        <w:t xml:space="preserve">. </w:t>
      </w:r>
      <w:r w:rsidR="001229A1">
        <w:rPr>
          <w:rFonts w:ascii="Garamond" w:hAnsi="Garamond"/>
          <w:sz w:val="24"/>
          <w:szCs w:val="24"/>
        </w:rPr>
        <w:t xml:space="preserve"> </w:t>
      </w:r>
      <w:r w:rsidR="004526F8">
        <w:rPr>
          <w:rFonts w:ascii="Garamond" w:hAnsi="Garamond"/>
          <w:sz w:val="24"/>
          <w:szCs w:val="24"/>
        </w:rPr>
        <w:t>White collar jobs</w:t>
      </w:r>
      <w:r w:rsidR="009D532B">
        <w:rPr>
          <w:rFonts w:ascii="Garamond" w:hAnsi="Garamond"/>
          <w:sz w:val="24"/>
          <w:szCs w:val="24"/>
        </w:rPr>
        <w:t xml:space="preserve"> are defined using </w:t>
      </w:r>
      <w:r w:rsidR="00770FF2">
        <w:rPr>
          <w:rFonts w:ascii="Garamond" w:hAnsi="Garamond"/>
          <w:sz w:val="24"/>
          <w:szCs w:val="24"/>
        </w:rPr>
        <w:t>two digit occupational codes</w:t>
      </w:r>
      <w:r w:rsidR="009D532B">
        <w:rPr>
          <w:rFonts w:ascii="Garamond" w:hAnsi="Garamond"/>
          <w:sz w:val="24"/>
          <w:szCs w:val="24"/>
        </w:rPr>
        <w:t xml:space="preserve"> and include categories such as professionals, technicians, managers, administrators, directive officials, and office workers.</w:t>
      </w:r>
      <w:r w:rsidR="00DC4FEF">
        <w:rPr>
          <w:rFonts w:ascii="Garamond" w:hAnsi="Garamond"/>
          <w:sz w:val="24"/>
          <w:szCs w:val="24"/>
        </w:rPr>
        <w:t xml:space="preserve">  All other categories are defined as blue collar.</w:t>
      </w:r>
      <w:r w:rsidR="009D532B">
        <w:rPr>
          <w:rFonts w:ascii="Garamond" w:hAnsi="Garamond"/>
          <w:sz w:val="24"/>
          <w:szCs w:val="24"/>
        </w:rPr>
        <w:t xml:space="preserve"> </w:t>
      </w:r>
      <w:r w:rsidR="004526F8">
        <w:rPr>
          <w:rFonts w:ascii="Garamond" w:hAnsi="Garamond"/>
          <w:sz w:val="24"/>
          <w:szCs w:val="24"/>
        </w:rPr>
        <w:t xml:space="preserve"> </w:t>
      </w:r>
    </w:p>
    <w:p w:rsidR="00C9772E" w:rsidRDefault="00DC4FEF" w:rsidP="00C9772E">
      <w:pPr>
        <w:spacing w:after="0" w:line="480" w:lineRule="auto"/>
        <w:ind w:firstLine="432"/>
        <w:rPr>
          <w:rFonts w:ascii="Garamond" w:hAnsi="Garamond"/>
          <w:sz w:val="24"/>
          <w:szCs w:val="24"/>
        </w:rPr>
      </w:pPr>
      <w:r>
        <w:rPr>
          <w:rFonts w:ascii="Garamond" w:hAnsi="Garamond"/>
          <w:sz w:val="24"/>
          <w:szCs w:val="24"/>
        </w:rPr>
        <w:t>“</w:t>
      </w:r>
      <w:r w:rsidR="00941EF9">
        <w:rPr>
          <w:rFonts w:ascii="Garamond" w:hAnsi="Garamond"/>
          <w:sz w:val="24"/>
          <w:szCs w:val="24"/>
        </w:rPr>
        <w:t>Brain</w:t>
      </w:r>
      <w:r>
        <w:rPr>
          <w:rFonts w:ascii="Garamond" w:hAnsi="Garamond"/>
          <w:sz w:val="24"/>
          <w:szCs w:val="24"/>
        </w:rPr>
        <w:t>”</w:t>
      </w:r>
      <w:r w:rsidR="00941EF9">
        <w:rPr>
          <w:rFonts w:ascii="Garamond" w:hAnsi="Garamond"/>
          <w:sz w:val="24"/>
          <w:szCs w:val="24"/>
        </w:rPr>
        <w:t xml:space="preserve"> jobs are defined using one</w:t>
      </w:r>
      <w:r w:rsidR="004526F8">
        <w:rPr>
          <w:rFonts w:ascii="Garamond" w:hAnsi="Garamond"/>
          <w:sz w:val="24"/>
          <w:szCs w:val="24"/>
        </w:rPr>
        <w:t xml:space="preserve"> digit occupational categories</w:t>
      </w:r>
      <w:r w:rsidR="00941EF9">
        <w:rPr>
          <w:rFonts w:ascii="Garamond" w:hAnsi="Garamond"/>
          <w:sz w:val="24"/>
          <w:szCs w:val="24"/>
        </w:rPr>
        <w:t xml:space="preserve"> (ISCO codes)</w:t>
      </w:r>
      <w:r w:rsidR="004526F8">
        <w:rPr>
          <w:rFonts w:ascii="Garamond" w:hAnsi="Garamond"/>
          <w:sz w:val="24"/>
          <w:szCs w:val="24"/>
        </w:rPr>
        <w:t>, and include legislators, senior officials, managers, professionals, technicians, associate professionals, and clerks</w:t>
      </w:r>
      <w:r w:rsidR="00941EF9">
        <w:rPr>
          <w:rFonts w:ascii="Garamond" w:hAnsi="Garamond"/>
          <w:sz w:val="24"/>
          <w:szCs w:val="24"/>
        </w:rPr>
        <w:t xml:space="preserve"> (ISCO=1</w:t>
      </w:r>
      <w:proofErr w:type="gramStart"/>
      <w:r w:rsidR="00941EF9">
        <w:rPr>
          <w:rFonts w:ascii="Garamond" w:hAnsi="Garamond"/>
          <w:sz w:val="24"/>
          <w:szCs w:val="24"/>
        </w:rPr>
        <w:t>,2,3</w:t>
      </w:r>
      <w:proofErr w:type="gramEnd"/>
      <w:r w:rsidR="00941EF9">
        <w:rPr>
          <w:rFonts w:ascii="Garamond" w:hAnsi="Garamond"/>
          <w:sz w:val="24"/>
          <w:szCs w:val="24"/>
        </w:rPr>
        <w:t xml:space="preserve"> or 4)</w:t>
      </w:r>
      <w:r w:rsidR="004526F8">
        <w:rPr>
          <w:rFonts w:ascii="Garamond" w:hAnsi="Garamond"/>
          <w:sz w:val="24"/>
          <w:szCs w:val="24"/>
        </w:rPr>
        <w:t>.  All other categories, which include service workers, agricultural and fishery workers, crafts and related trade workers and elementary occupations are defined as “brawn”.</w:t>
      </w:r>
      <w:r w:rsidR="009D532B">
        <w:rPr>
          <w:rStyle w:val="FootnoteReference"/>
          <w:rFonts w:ascii="Garamond" w:hAnsi="Garamond"/>
          <w:sz w:val="24"/>
          <w:szCs w:val="24"/>
        </w:rPr>
        <w:footnoteReference w:id="10"/>
      </w:r>
      <w:r w:rsidR="002A7CE8">
        <w:rPr>
          <w:rFonts w:ascii="Garamond" w:hAnsi="Garamond"/>
          <w:sz w:val="24"/>
          <w:szCs w:val="24"/>
        </w:rPr>
        <w:t xml:space="preserve">  </w:t>
      </w:r>
    </w:p>
    <w:p w:rsidR="0060284E" w:rsidRPr="0091104B" w:rsidRDefault="002A7CE8" w:rsidP="00C9772E">
      <w:pPr>
        <w:spacing w:after="0" w:line="480" w:lineRule="auto"/>
        <w:ind w:firstLine="432"/>
        <w:rPr>
          <w:rFonts w:ascii="Garamond" w:hAnsi="Garamond"/>
          <w:sz w:val="24"/>
          <w:szCs w:val="24"/>
        </w:rPr>
      </w:pPr>
      <w:r>
        <w:rPr>
          <w:rFonts w:ascii="Garamond" w:hAnsi="Garamond"/>
          <w:sz w:val="24"/>
          <w:szCs w:val="24"/>
        </w:rPr>
        <w:t xml:space="preserve">We also consider the percentage of women who are employed in male dominated professions.  These are defined as occupations defined as “brain” in which, as of 1960, more than 75% of the workforce was male.  They include occupations such as engineers, chemists, lawyers, doctors, writers, and managers in both public and private firms.   </w:t>
      </w:r>
    </w:p>
    <w:p w:rsidR="009D532B" w:rsidRDefault="009D532B" w:rsidP="005A66CC">
      <w:pPr>
        <w:spacing w:after="0" w:line="480" w:lineRule="auto"/>
        <w:ind w:firstLine="720"/>
        <w:rPr>
          <w:rFonts w:ascii="Garamond" w:hAnsi="Garamond"/>
          <w:sz w:val="24"/>
          <w:szCs w:val="24"/>
        </w:rPr>
      </w:pPr>
      <w:r>
        <w:rPr>
          <w:rFonts w:ascii="Garamond" w:hAnsi="Garamond"/>
          <w:sz w:val="24"/>
          <w:szCs w:val="24"/>
        </w:rPr>
        <w:t xml:space="preserve">Finally we </w:t>
      </w:r>
      <w:r w:rsidR="00C9772E">
        <w:rPr>
          <w:rFonts w:ascii="Garamond" w:hAnsi="Garamond"/>
          <w:sz w:val="24"/>
          <w:szCs w:val="24"/>
        </w:rPr>
        <w:t xml:space="preserve">look at </w:t>
      </w:r>
      <w:r>
        <w:rPr>
          <w:rFonts w:ascii="Garamond" w:hAnsi="Garamond"/>
          <w:sz w:val="24"/>
          <w:szCs w:val="24"/>
        </w:rPr>
        <w:t xml:space="preserve">wages, measured by the log of </w:t>
      </w:r>
      <w:r w:rsidR="00941EF9">
        <w:rPr>
          <w:rFonts w:ascii="Garamond" w:hAnsi="Garamond"/>
          <w:sz w:val="24"/>
          <w:szCs w:val="24"/>
        </w:rPr>
        <w:t xml:space="preserve">average </w:t>
      </w:r>
      <w:r>
        <w:rPr>
          <w:rFonts w:ascii="Garamond" w:hAnsi="Garamond"/>
          <w:sz w:val="24"/>
          <w:szCs w:val="24"/>
        </w:rPr>
        <w:t>monthly earned income,</w:t>
      </w:r>
      <w:r w:rsidR="00FF36DA" w:rsidRPr="00EC224B">
        <w:rPr>
          <w:rFonts w:ascii="Garamond" w:hAnsi="Garamond"/>
          <w:sz w:val="24"/>
          <w:szCs w:val="24"/>
        </w:rPr>
        <w:t xml:space="preserve"> and hours worked</w:t>
      </w:r>
      <w:r>
        <w:rPr>
          <w:rFonts w:ascii="Garamond" w:hAnsi="Garamond"/>
          <w:sz w:val="24"/>
          <w:szCs w:val="24"/>
        </w:rPr>
        <w:t>.</w:t>
      </w:r>
      <w:r w:rsidR="00941EF9">
        <w:rPr>
          <w:rStyle w:val="FootnoteReference"/>
          <w:rFonts w:ascii="Garamond" w:hAnsi="Garamond"/>
          <w:sz w:val="24"/>
          <w:szCs w:val="24"/>
        </w:rPr>
        <w:footnoteReference w:id="11"/>
      </w:r>
      <w:r>
        <w:rPr>
          <w:rFonts w:ascii="Garamond" w:hAnsi="Garamond"/>
          <w:sz w:val="24"/>
          <w:szCs w:val="24"/>
        </w:rPr>
        <w:t xml:space="preserve">  We also consider the </w:t>
      </w:r>
      <w:r w:rsidR="001229A1" w:rsidRPr="00EC224B">
        <w:rPr>
          <w:rFonts w:ascii="Garamond" w:hAnsi="Garamond"/>
          <w:sz w:val="24"/>
          <w:szCs w:val="24"/>
        </w:rPr>
        <w:t>percentage of w</w:t>
      </w:r>
      <w:r w:rsidR="001229A1">
        <w:rPr>
          <w:rFonts w:ascii="Garamond" w:hAnsi="Garamond"/>
          <w:sz w:val="24"/>
          <w:szCs w:val="24"/>
        </w:rPr>
        <w:t xml:space="preserve">omen </w:t>
      </w:r>
      <w:r>
        <w:rPr>
          <w:rFonts w:ascii="Garamond" w:hAnsi="Garamond"/>
          <w:sz w:val="24"/>
          <w:szCs w:val="24"/>
        </w:rPr>
        <w:t xml:space="preserve">who fall within </w:t>
      </w:r>
      <w:r w:rsidR="001229A1">
        <w:rPr>
          <w:rFonts w:ascii="Garamond" w:hAnsi="Garamond"/>
          <w:sz w:val="24"/>
          <w:szCs w:val="24"/>
        </w:rPr>
        <w:t xml:space="preserve">the top 25% of earners for a given state and year.  </w:t>
      </w:r>
      <w:r>
        <w:rPr>
          <w:rFonts w:ascii="Garamond" w:hAnsi="Garamond"/>
          <w:sz w:val="24"/>
          <w:szCs w:val="24"/>
        </w:rPr>
        <w:t>The wage and hours worked data are only available for the 1990, 2000 and 2010 census.  Thus the sample si</w:t>
      </w:r>
      <w:r w:rsidR="00D6327A">
        <w:rPr>
          <w:rFonts w:ascii="Garamond" w:hAnsi="Garamond"/>
          <w:sz w:val="24"/>
          <w:szCs w:val="24"/>
        </w:rPr>
        <w:t>ze</w:t>
      </w:r>
      <w:r w:rsidR="00707580">
        <w:rPr>
          <w:rFonts w:ascii="Garamond" w:hAnsi="Garamond"/>
          <w:sz w:val="24"/>
          <w:szCs w:val="24"/>
        </w:rPr>
        <w:t xml:space="preserve"> for these outcomes is smaller</w:t>
      </w:r>
      <w:r>
        <w:rPr>
          <w:rFonts w:ascii="Garamond" w:hAnsi="Garamond"/>
          <w:sz w:val="24"/>
          <w:szCs w:val="24"/>
        </w:rPr>
        <w:t xml:space="preserve">. </w:t>
      </w:r>
      <w:r w:rsidR="001229A1">
        <w:rPr>
          <w:rFonts w:ascii="Garamond" w:hAnsi="Garamond"/>
          <w:sz w:val="24"/>
          <w:szCs w:val="24"/>
        </w:rPr>
        <w:t xml:space="preserve"> </w:t>
      </w:r>
      <w:r w:rsidR="00F32BC5">
        <w:rPr>
          <w:rFonts w:ascii="Garamond" w:hAnsi="Garamond"/>
          <w:sz w:val="24"/>
          <w:szCs w:val="24"/>
        </w:rPr>
        <w:t xml:space="preserve">All earned income values are converted to year 2000 pesos using CPI data from INEGI.  </w:t>
      </w:r>
    </w:p>
    <w:p w:rsidR="0060284E" w:rsidRDefault="0060284E" w:rsidP="002A7CE8">
      <w:pPr>
        <w:spacing w:after="0" w:line="480" w:lineRule="auto"/>
        <w:ind w:firstLine="360"/>
        <w:rPr>
          <w:rFonts w:ascii="Garamond" w:hAnsi="Garamond"/>
          <w:sz w:val="24"/>
          <w:szCs w:val="24"/>
        </w:rPr>
      </w:pPr>
      <w:r>
        <w:rPr>
          <w:rFonts w:ascii="Garamond" w:hAnsi="Garamond"/>
          <w:sz w:val="24"/>
          <w:szCs w:val="24"/>
        </w:rPr>
        <w:t>Summ</w:t>
      </w:r>
      <w:r w:rsidR="009D532B">
        <w:rPr>
          <w:rFonts w:ascii="Garamond" w:hAnsi="Garamond"/>
          <w:sz w:val="24"/>
          <w:szCs w:val="24"/>
        </w:rPr>
        <w:t>ary statistics for all of the</w:t>
      </w:r>
      <w:r w:rsidR="001229A1">
        <w:rPr>
          <w:rFonts w:ascii="Garamond" w:hAnsi="Garamond"/>
          <w:sz w:val="24"/>
          <w:szCs w:val="24"/>
        </w:rPr>
        <w:t xml:space="preserve"> labor force</w:t>
      </w:r>
      <w:r>
        <w:rPr>
          <w:rFonts w:ascii="Garamond" w:hAnsi="Garamond"/>
          <w:sz w:val="24"/>
          <w:szCs w:val="24"/>
        </w:rPr>
        <w:t xml:space="preserve"> measures</w:t>
      </w:r>
      <w:r w:rsidR="006E5B24">
        <w:rPr>
          <w:rFonts w:ascii="Garamond" w:hAnsi="Garamond"/>
          <w:sz w:val="24"/>
          <w:szCs w:val="24"/>
        </w:rPr>
        <w:t xml:space="preserve"> are shown in Table 2</w:t>
      </w:r>
      <w:r>
        <w:rPr>
          <w:rFonts w:ascii="Garamond" w:hAnsi="Garamond"/>
          <w:sz w:val="24"/>
          <w:szCs w:val="24"/>
        </w:rPr>
        <w:t>.</w:t>
      </w:r>
      <w:r w:rsidR="008D7258">
        <w:rPr>
          <w:rFonts w:ascii="Garamond" w:hAnsi="Garamond"/>
          <w:sz w:val="24"/>
          <w:szCs w:val="24"/>
        </w:rPr>
        <w:t xml:space="preserve">  The table shows clearly the increase in labor force participation for women over time, as the percentages increase significantly for all cohorts from 1960 to 2010.  The table also shows an increase in women’s </w:t>
      </w:r>
      <w:r w:rsidR="008D7258">
        <w:rPr>
          <w:rFonts w:ascii="Garamond" w:hAnsi="Garamond"/>
          <w:sz w:val="24"/>
          <w:szCs w:val="24"/>
        </w:rPr>
        <w:lastRenderedPageBreak/>
        <w:t>participation in higher skilled jobs, as the percentage of women in white collar increases for all cohorts over time, while the percentage of women in “brain” jobs increases for all b</w:t>
      </w:r>
      <w:r w:rsidR="00F32BC5">
        <w:rPr>
          <w:rFonts w:ascii="Garamond" w:hAnsi="Garamond"/>
          <w:sz w:val="24"/>
          <w:szCs w:val="24"/>
        </w:rPr>
        <w:t>ut the youngest cohort.  We</w:t>
      </w:r>
      <w:r w:rsidR="008D7258">
        <w:rPr>
          <w:rFonts w:ascii="Garamond" w:hAnsi="Garamond"/>
          <w:sz w:val="24"/>
          <w:szCs w:val="24"/>
        </w:rPr>
        <w:t xml:space="preserve"> see </w:t>
      </w:r>
      <w:r w:rsidR="00D6327A">
        <w:rPr>
          <w:rFonts w:ascii="Garamond" w:hAnsi="Garamond"/>
          <w:sz w:val="24"/>
          <w:szCs w:val="24"/>
        </w:rPr>
        <w:t>these increases reflected in average</w:t>
      </w:r>
      <w:r w:rsidR="008D7258">
        <w:rPr>
          <w:rFonts w:ascii="Garamond" w:hAnsi="Garamond"/>
          <w:sz w:val="24"/>
          <w:szCs w:val="24"/>
        </w:rPr>
        <w:t xml:space="preserve"> monthly income,</w:t>
      </w:r>
      <w:r w:rsidR="00F32BC5">
        <w:rPr>
          <w:rFonts w:ascii="Garamond" w:hAnsi="Garamond"/>
          <w:sz w:val="24"/>
          <w:szCs w:val="24"/>
        </w:rPr>
        <w:t xml:space="preserve"> which increases significantly from 1990 to 2010, and even more </w:t>
      </w:r>
      <w:r w:rsidR="008D7258">
        <w:rPr>
          <w:rFonts w:ascii="Garamond" w:hAnsi="Garamond"/>
          <w:sz w:val="24"/>
          <w:szCs w:val="24"/>
        </w:rPr>
        <w:t>strongly in the percentage of women who are in the highest earner</w:t>
      </w:r>
      <w:r w:rsidR="00F32BC5">
        <w:rPr>
          <w:rFonts w:ascii="Garamond" w:hAnsi="Garamond"/>
          <w:sz w:val="24"/>
          <w:szCs w:val="24"/>
        </w:rPr>
        <w:t xml:space="preserve"> category.  This suggests the</w:t>
      </w:r>
      <w:r w:rsidR="00D6327A">
        <w:rPr>
          <w:rFonts w:ascii="Garamond" w:hAnsi="Garamond"/>
          <w:sz w:val="24"/>
          <w:szCs w:val="24"/>
        </w:rPr>
        <w:t xml:space="preserve"> benefits from higher skilled jobs are</w:t>
      </w:r>
      <w:r w:rsidR="00F32BC5">
        <w:rPr>
          <w:rFonts w:ascii="Garamond" w:hAnsi="Garamond"/>
          <w:sz w:val="24"/>
          <w:szCs w:val="24"/>
        </w:rPr>
        <w:t xml:space="preserve"> more highly</w:t>
      </w:r>
      <w:r w:rsidR="00D6327A">
        <w:rPr>
          <w:rFonts w:ascii="Garamond" w:hAnsi="Garamond"/>
          <w:sz w:val="24"/>
          <w:szCs w:val="24"/>
        </w:rPr>
        <w:t xml:space="preserve"> concentrated in the upper end of the distribution of female workers.  </w:t>
      </w:r>
      <w:r w:rsidR="00C50DB6" w:rsidRPr="00A7346E">
        <w:rPr>
          <w:rFonts w:ascii="Garamond" w:hAnsi="Garamond"/>
          <w:sz w:val="24"/>
          <w:szCs w:val="24"/>
        </w:rPr>
        <w:t xml:space="preserve">Interestingly, the </w:t>
      </w:r>
      <w:r w:rsidR="002A7CE8">
        <w:rPr>
          <w:rFonts w:ascii="Garamond" w:hAnsi="Garamond"/>
          <w:sz w:val="24"/>
          <w:szCs w:val="24"/>
        </w:rPr>
        <w:t>percentage of women in male dominated professions, although it increases over time, remains low across all cohorts.  For example, in 2010 the percentage of women in male dominated professions is less than 8% for all cohorts. This suggests that, despite the</w:t>
      </w:r>
      <w:r w:rsidR="00D6327A">
        <w:rPr>
          <w:rFonts w:ascii="Garamond" w:hAnsi="Garamond"/>
          <w:sz w:val="24"/>
          <w:szCs w:val="24"/>
        </w:rPr>
        <w:t xml:space="preserve"> increase in women participating in white collar jobs, the segregation within </w:t>
      </w:r>
      <w:r w:rsidR="002A7CE8">
        <w:rPr>
          <w:rFonts w:ascii="Garamond" w:hAnsi="Garamond"/>
          <w:sz w:val="24"/>
          <w:szCs w:val="24"/>
        </w:rPr>
        <w:t>more specific job types may not</w:t>
      </w:r>
      <w:r w:rsidR="009F11E5">
        <w:rPr>
          <w:rFonts w:ascii="Garamond" w:hAnsi="Garamond"/>
          <w:sz w:val="24"/>
          <w:szCs w:val="24"/>
        </w:rPr>
        <w:t xml:space="preserve"> have declined much</w:t>
      </w:r>
      <w:r w:rsidR="00241FE4">
        <w:rPr>
          <w:rFonts w:ascii="Garamond" w:hAnsi="Garamond"/>
          <w:sz w:val="24"/>
          <w:szCs w:val="24"/>
        </w:rPr>
        <w:t>.</w:t>
      </w:r>
      <w:r w:rsidR="00D6327A">
        <w:rPr>
          <w:rFonts w:ascii="Garamond" w:hAnsi="Garamond"/>
          <w:sz w:val="24"/>
          <w:szCs w:val="24"/>
        </w:rPr>
        <w:t xml:space="preserve">   </w:t>
      </w:r>
      <w:r w:rsidR="008D7258">
        <w:rPr>
          <w:rFonts w:ascii="Garamond" w:hAnsi="Garamond"/>
          <w:sz w:val="24"/>
          <w:szCs w:val="24"/>
        </w:rPr>
        <w:t xml:space="preserve"> </w:t>
      </w:r>
      <w:r>
        <w:rPr>
          <w:rFonts w:ascii="Garamond" w:hAnsi="Garamond"/>
          <w:sz w:val="24"/>
          <w:szCs w:val="24"/>
        </w:rPr>
        <w:t xml:space="preserve"> </w:t>
      </w:r>
      <w:r w:rsidR="001229A1">
        <w:rPr>
          <w:rFonts w:ascii="Garamond" w:hAnsi="Garamond"/>
          <w:sz w:val="24"/>
          <w:szCs w:val="24"/>
        </w:rPr>
        <w:t xml:space="preserve"> </w:t>
      </w:r>
    </w:p>
    <w:p w:rsidR="00F405D2" w:rsidRPr="00F405D2" w:rsidRDefault="00F405D2" w:rsidP="00F405D2">
      <w:pPr>
        <w:spacing w:after="0" w:line="480" w:lineRule="auto"/>
        <w:rPr>
          <w:rFonts w:ascii="Garamond" w:hAnsi="Garamond"/>
          <w:sz w:val="24"/>
          <w:szCs w:val="24"/>
        </w:rPr>
      </w:pPr>
    </w:p>
    <w:p w:rsidR="005A3276" w:rsidRPr="00DC5A8B" w:rsidRDefault="00C46D1E" w:rsidP="00DC5A8B">
      <w:pPr>
        <w:numPr>
          <w:ilvl w:val="0"/>
          <w:numId w:val="1"/>
        </w:numPr>
        <w:spacing w:after="0" w:line="480" w:lineRule="auto"/>
        <w:rPr>
          <w:rFonts w:ascii="Garamond" w:hAnsi="Garamond"/>
          <w:b/>
          <w:sz w:val="24"/>
          <w:szCs w:val="24"/>
        </w:rPr>
      </w:pPr>
      <w:r w:rsidRPr="00815BF2">
        <w:rPr>
          <w:rFonts w:ascii="Garamond" w:hAnsi="Garamond"/>
          <w:b/>
          <w:sz w:val="24"/>
          <w:szCs w:val="24"/>
        </w:rPr>
        <w:t xml:space="preserve">Empirical Strategy </w:t>
      </w:r>
      <w:r w:rsidR="005A3276" w:rsidRPr="00DC5A8B">
        <w:rPr>
          <w:rFonts w:ascii="Garamond" w:hAnsi="Garamond"/>
          <w:sz w:val="24"/>
          <w:szCs w:val="24"/>
        </w:rPr>
        <w:t xml:space="preserve"> </w:t>
      </w:r>
    </w:p>
    <w:p w:rsidR="006E5B24" w:rsidRDefault="00B7191A" w:rsidP="00F405D2">
      <w:pPr>
        <w:spacing w:after="0" w:line="480" w:lineRule="auto"/>
        <w:rPr>
          <w:rFonts w:ascii="Garamond" w:hAnsi="Garamond"/>
          <w:sz w:val="24"/>
          <w:szCs w:val="24"/>
        </w:rPr>
      </w:pPr>
      <w:r>
        <w:rPr>
          <w:rFonts w:ascii="Garamond" w:hAnsi="Garamond"/>
          <w:sz w:val="24"/>
          <w:szCs w:val="24"/>
        </w:rPr>
        <w:t>To estimate the effect of changes in the male-female sex ratio on female labor market outcomes, we use the following specification</w:t>
      </w:r>
      <w:r w:rsidR="005A3276">
        <w:rPr>
          <w:rFonts w:ascii="Garamond" w:hAnsi="Garamond"/>
          <w:sz w:val="24"/>
          <w:szCs w:val="24"/>
        </w:rPr>
        <w:t xml:space="preserve">: </w:t>
      </w:r>
      <w:r w:rsidR="006E5B24">
        <w:rPr>
          <w:rFonts w:ascii="Garamond" w:hAnsi="Garamond"/>
          <w:sz w:val="24"/>
          <w:szCs w:val="24"/>
        </w:rPr>
        <w:t xml:space="preserve"> </w:t>
      </w:r>
    </w:p>
    <w:p w:rsidR="005A3276" w:rsidRPr="00B7191A" w:rsidRDefault="00580133" w:rsidP="00B7191A">
      <w:pPr>
        <w:pStyle w:val="ListParagraph"/>
        <w:numPr>
          <w:ilvl w:val="0"/>
          <w:numId w:val="10"/>
        </w:numPr>
        <w:spacing w:after="0" w:line="480" w:lineRule="auto"/>
        <w:rPr>
          <w:rFonts w:ascii="Garamond" w:hAnsi="Garamond"/>
          <w:sz w:val="24"/>
          <w:szCs w:val="24"/>
        </w:rPr>
      </w:pPr>
      <w:r w:rsidRPr="003A391E">
        <w:object w:dxaOrig="5640" w:dyaOrig="360">
          <v:shape id="_x0000_i1034" type="#_x0000_t75" style="width:282pt;height:18pt" o:ole="">
            <v:imagedata r:id="rId29" o:title=""/>
          </v:shape>
          <o:OLEObject Type="Embed" ProgID="Equation.3" ShapeID="_x0000_i1034" DrawAspect="Content" ObjectID="_1489935305" r:id="rId30"/>
        </w:object>
      </w:r>
    </w:p>
    <w:p w:rsidR="00F81CF2" w:rsidRDefault="00280347" w:rsidP="00F81CF2">
      <w:pPr>
        <w:spacing w:after="0" w:line="480" w:lineRule="auto"/>
        <w:ind w:firstLine="432"/>
        <w:rPr>
          <w:rFonts w:ascii="Garamond" w:hAnsi="Garamond"/>
          <w:sz w:val="24"/>
          <w:szCs w:val="24"/>
        </w:rPr>
      </w:pPr>
      <w:r>
        <w:rPr>
          <w:rFonts w:ascii="Garamond" w:hAnsi="Garamond"/>
          <w:sz w:val="24"/>
          <w:szCs w:val="24"/>
        </w:rPr>
        <w:t>T</w:t>
      </w:r>
      <w:r w:rsidR="005A3276">
        <w:rPr>
          <w:rFonts w:ascii="Garamond" w:hAnsi="Garamond"/>
          <w:sz w:val="24"/>
          <w:szCs w:val="24"/>
        </w:rPr>
        <w:t>he dep</w:t>
      </w:r>
      <w:r w:rsidR="003A391E">
        <w:rPr>
          <w:rFonts w:ascii="Garamond" w:hAnsi="Garamond"/>
          <w:sz w:val="24"/>
          <w:szCs w:val="24"/>
        </w:rPr>
        <w:t>endent variable is</w:t>
      </w:r>
      <w:r w:rsidR="005A3276">
        <w:rPr>
          <w:rFonts w:ascii="Garamond" w:hAnsi="Garamond"/>
          <w:sz w:val="24"/>
          <w:szCs w:val="24"/>
        </w:rPr>
        <w:t xml:space="preserve"> </w:t>
      </w:r>
      <w:r w:rsidR="00B7191A">
        <w:rPr>
          <w:rFonts w:ascii="Garamond" w:hAnsi="Garamond"/>
          <w:sz w:val="24"/>
          <w:szCs w:val="24"/>
        </w:rPr>
        <w:t>a</w:t>
      </w:r>
      <w:r w:rsidR="005A3276">
        <w:rPr>
          <w:rFonts w:ascii="Garamond" w:hAnsi="Garamond"/>
          <w:sz w:val="24"/>
          <w:szCs w:val="24"/>
        </w:rPr>
        <w:t xml:space="preserve"> particular labor force outcome</w:t>
      </w:r>
      <w:r w:rsidR="008A18A0">
        <w:rPr>
          <w:rFonts w:ascii="Garamond" w:hAnsi="Garamond"/>
          <w:sz w:val="24"/>
          <w:szCs w:val="24"/>
        </w:rPr>
        <w:t xml:space="preserve"> for women in the 8</w:t>
      </w:r>
      <w:r w:rsidR="003A391E">
        <w:rPr>
          <w:rFonts w:ascii="Garamond" w:hAnsi="Garamond"/>
          <w:sz w:val="24"/>
          <w:szCs w:val="24"/>
        </w:rPr>
        <w:t xml:space="preserve"> year age cohort </w:t>
      </w:r>
      <w:r w:rsidR="003A391E" w:rsidRPr="003A391E">
        <w:rPr>
          <w:rFonts w:ascii="Garamond" w:hAnsi="Garamond"/>
          <w:i/>
          <w:sz w:val="24"/>
          <w:szCs w:val="24"/>
        </w:rPr>
        <w:t>c</w:t>
      </w:r>
      <w:r w:rsidR="003A391E">
        <w:rPr>
          <w:rFonts w:ascii="Garamond" w:hAnsi="Garamond"/>
          <w:sz w:val="24"/>
          <w:szCs w:val="24"/>
        </w:rPr>
        <w:t xml:space="preserve">, in state </w:t>
      </w:r>
      <w:r w:rsidR="003A391E" w:rsidRPr="003A391E">
        <w:rPr>
          <w:rFonts w:ascii="Garamond" w:hAnsi="Garamond"/>
          <w:i/>
          <w:sz w:val="24"/>
          <w:szCs w:val="24"/>
        </w:rPr>
        <w:t>s</w:t>
      </w:r>
      <w:r w:rsidR="003A391E">
        <w:rPr>
          <w:rFonts w:ascii="Garamond" w:hAnsi="Garamond"/>
          <w:sz w:val="24"/>
          <w:szCs w:val="24"/>
        </w:rPr>
        <w:t xml:space="preserve"> and year </w:t>
      </w:r>
      <w:r w:rsidR="003A391E" w:rsidRPr="003A391E">
        <w:rPr>
          <w:rFonts w:ascii="Garamond" w:hAnsi="Garamond"/>
          <w:i/>
          <w:sz w:val="24"/>
          <w:szCs w:val="24"/>
        </w:rPr>
        <w:t>t</w:t>
      </w:r>
      <w:r w:rsidR="003A391E">
        <w:rPr>
          <w:rFonts w:ascii="Garamond" w:hAnsi="Garamond"/>
          <w:sz w:val="24"/>
          <w:szCs w:val="24"/>
        </w:rPr>
        <w:t>.</w:t>
      </w:r>
      <w:r w:rsidR="005A3276">
        <w:rPr>
          <w:rFonts w:ascii="Garamond" w:hAnsi="Garamond"/>
          <w:sz w:val="24"/>
          <w:szCs w:val="24"/>
        </w:rPr>
        <w:t xml:space="preserve">  This is modeled as a linear func</w:t>
      </w:r>
      <w:r w:rsidR="00AD18FA">
        <w:rPr>
          <w:rFonts w:ascii="Garamond" w:hAnsi="Garamond"/>
          <w:sz w:val="24"/>
          <w:szCs w:val="24"/>
        </w:rPr>
        <w:t>tion of the sex</w:t>
      </w:r>
      <w:r w:rsidR="003A391E">
        <w:rPr>
          <w:rFonts w:ascii="Garamond" w:hAnsi="Garamond"/>
          <w:sz w:val="24"/>
          <w:szCs w:val="24"/>
        </w:rPr>
        <w:t xml:space="preserve"> ratio for cohort </w:t>
      </w:r>
      <w:r w:rsidR="003A391E" w:rsidRPr="003A391E">
        <w:rPr>
          <w:rFonts w:ascii="Garamond" w:hAnsi="Garamond"/>
          <w:i/>
          <w:sz w:val="24"/>
          <w:szCs w:val="24"/>
        </w:rPr>
        <w:t>c</w:t>
      </w:r>
      <w:r w:rsidR="003A391E">
        <w:rPr>
          <w:rFonts w:ascii="Garamond" w:hAnsi="Garamond"/>
          <w:sz w:val="24"/>
          <w:szCs w:val="24"/>
        </w:rPr>
        <w:t xml:space="preserve"> in state </w:t>
      </w:r>
      <w:r w:rsidR="003A391E" w:rsidRPr="003A391E">
        <w:rPr>
          <w:rFonts w:ascii="Garamond" w:hAnsi="Garamond"/>
          <w:i/>
          <w:sz w:val="24"/>
          <w:szCs w:val="24"/>
        </w:rPr>
        <w:t>s</w:t>
      </w:r>
      <w:r w:rsidR="003A391E">
        <w:rPr>
          <w:rFonts w:ascii="Garamond" w:hAnsi="Garamond"/>
          <w:sz w:val="24"/>
          <w:szCs w:val="24"/>
        </w:rPr>
        <w:t xml:space="preserve"> and year </w:t>
      </w:r>
      <w:r w:rsidR="003A391E" w:rsidRPr="003A391E">
        <w:rPr>
          <w:rFonts w:ascii="Garamond" w:hAnsi="Garamond"/>
          <w:i/>
          <w:sz w:val="24"/>
          <w:szCs w:val="24"/>
        </w:rPr>
        <w:t>t</w:t>
      </w:r>
      <w:r w:rsidR="008D44F5">
        <w:rPr>
          <w:rFonts w:ascii="Garamond" w:hAnsi="Garamond"/>
          <w:sz w:val="24"/>
          <w:szCs w:val="24"/>
        </w:rPr>
        <w:t>, state and year controls</w:t>
      </w:r>
      <w:r w:rsidR="003A391E">
        <w:rPr>
          <w:rFonts w:ascii="Garamond" w:hAnsi="Garamond"/>
          <w:sz w:val="24"/>
          <w:szCs w:val="24"/>
        </w:rPr>
        <w:t xml:space="preserve"> (</w:t>
      </w:r>
      <w:proofErr w:type="spellStart"/>
      <w:r w:rsidR="003A391E" w:rsidRPr="009579C7">
        <w:rPr>
          <w:rFonts w:ascii="Garamond" w:hAnsi="Garamond"/>
          <w:i/>
          <w:sz w:val="24"/>
          <w:szCs w:val="24"/>
        </w:rPr>
        <w:t>Xst</w:t>
      </w:r>
      <w:proofErr w:type="spellEnd"/>
      <w:r w:rsidR="003A391E">
        <w:rPr>
          <w:rFonts w:ascii="Garamond" w:hAnsi="Garamond"/>
          <w:sz w:val="24"/>
          <w:szCs w:val="24"/>
        </w:rPr>
        <w:t xml:space="preserve">) and </w:t>
      </w:r>
      <w:r w:rsidR="00B465EF">
        <w:rPr>
          <w:rFonts w:ascii="Garamond" w:hAnsi="Garamond"/>
          <w:sz w:val="24"/>
          <w:szCs w:val="24"/>
        </w:rPr>
        <w:t>year and cohort</w:t>
      </w:r>
      <w:r w:rsidR="005A3276">
        <w:rPr>
          <w:rFonts w:ascii="Garamond" w:hAnsi="Garamond"/>
          <w:sz w:val="24"/>
          <w:szCs w:val="24"/>
        </w:rPr>
        <w:t xml:space="preserve"> fixed effects. </w:t>
      </w:r>
      <w:r w:rsidR="00BC4228">
        <w:rPr>
          <w:rFonts w:ascii="Garamond" w:hAnsi="Garamond"/>
          <w:sz w:val="24"/>
          <w:szCs w:val="24"/>
        </w:rPr>
        <w:t xml:space="preserve"> </w:t>
      </w:r>
      <w:r w:rsidR="00815739">
        <w:rPr>
          <w:rFonts w:ascii="Garamond" w:hAnsi="Garamond"/>
          <w:sz w:val="24"/>
          <w:szCs w:val="24"/>
        </w:rPr>
        <w:t xml:space="preserve">If a decline in men relative to women led to increases in women </w:t>
      </w:r>
      <w:r w:rsidR="008D57F4">
        <w:rPr>
          <w:rFonts w:ascii="Garamond" w:hAnsi="Garamond"/>
          <w:sz w:val="24"/>
          <w:szCs w:val="24"/>
        </w:rPr>
        <w:t>entering high skilled occupations we</w:t>
      </w:r>
      <w:r w:rsidR="007B2AFB">
        <w:rPr>
          <w:rFonts w:ascii="Garamond" w:hAnsi="Garamond"/>
          <w:sz w:val="24"/>
          <w:szCs w:val="24"/>
        </w:rPr>
        <w:t xml:space="preserve"> exp</w:t>
      </w:r>
      <w:r w:rsidR="008D57F4">
        <w:rPr>
          <w:rFonts w:ascii="Garamond" w:hAnsi="Garamond"/>
          <w:sz w:val="24"/>
          <w:szCs w:val="24"/>
        </w:rPr>
        <w:t>ect</w:t>
      </w:r>
      <w:r w:rsidR="008D57F4" w:rsidRPr="008D57F4">
        <w:rPr>
          <w:rFonts w:ascii="Garamond" w:hAnsi="Garamond"/>
          <w:position w:val="-10"/>
          <w:sz w:val="24"/>
          <w:szCs w:val="24"/>
        </w:rPr>
        <w:object w:dxaOrig="279" w:dyaOrig="340">
          <v:shape id="_x0000_i1035" type="#_x0000_t75" style="width:14.25pt;height:17.25pt" o:ole="">
            <v:imagedata r:id="rId31" o:title=""/>
          </v:shape>
          <o:OLEObject Type="Embed" ProgID="Equation.3" ShapeID="_x0000_i1035" DrawAspect="Content" ObjectID="_1489935306" r:id="rId32"/>
        </w:object>
      </w:r>
      <w:r w:rsidR="007B2AFB">
        <w:rPr>
          <w:rFonts w:ascii="Garamond" w:hAnsi="Garamond"/>
          <w:sz w:val="24"/>
          <w:szCs w:val="24"/>
        </w:rPr>
        <w:t xml:space="preserve"> to</w:t>
      </w:r>
      <w:r w:rsidR="008D57F4">
        <w:rPr>
          <w:rFonts w:ascii="Garamond" w:hAnsi="Garamond"/>
          <w:sz w:val="24"/>
          <w:szCs w:val="24"/>
        </w:rPr>
        <w:t xml:space="preserve"> be negative for</w:t>
      </w:r>
      <w:r w:rsidR="007B2AFB">
        <w:rPr>
          <w:rFonts w:ascii="Garamond" w:hAnsi="Garamond"/>
          <w:sz w:val="24"/>
          <w:szCs w:val="24"/>
        </w:rPr>
        <w:t xml:space="preserve"> labor force participation, white collar, and brain jobs</w:t>
      </w:r>
      <w:r w:rsidR="008D57F4">
        <w:rPr>
          <w:rFonts w:ascii="Garamond" w:hAnsi="Garamond"/>
          <w:sz w:val="24"/>
          <w:szCs w:val="24"/>
        </w:rPr>
        <w:t>.</w:t>
      </w:r>
      <w:r w:rsidR="00AD18FA">
        <w:rPr>
          <w:rFonts w:ascii="Garamond" w:hAnsi="Garamond"/>
          <w:color w:val="FF0000"/>
          <w:sz w:val="24"/>
          <w:szCs w:val="24"/>
        </w:rPr>
        <w:t xml:space="preserve"> </w:t>
      </w:r>
      <w:r w:rsidR="009F11E5">
        <w:rPr>
          <w:rFonts w:ascii="Garamond" w:hAnsi="Garamond"/>
          <w:color w:val="FF0000"/>
          <w:sz w:val="24"/>
          <w:szCs w:val="24"/>
        </w:rPr>
        <w:t xml:space="preserve"> </w:t>
      </w:r>
      <w:r w:rsidR="008D57F4">
        <w:rPr>
          <w:rFonts w:ascii="Garamond" w:hAnsi="Garamond"/>
          <w:sz w:val="24"/>
          <w:szCs w:val="24"/>
        </w:rPr>
        <w:t>In othe</w:t>
      </w:r>
      <w:r w:rsidR="00AD18FA">
        <w:rPr>
          <w:rFonts w:ascii="Garamond" w:hAnsi="Garamond"/>
          <w:sz w:val="24"/>
          <w:szCs w:val="24"/>
        </w:rPr>
        <w:t>r words, a decline in the sex</w:t>
      </w:r>
      <w:r w:rsidR="008D57F4">
        <w:rPr>
          <w:rFonts w:ascii="Garamond" w:hAnsi="Garamond"/>
          <w:sz w:val="24"/>
          <w:szCs w:val="24"/>
        </w:rPr>
        <w:t xml:space="preserve"> ratio is associated with an increase in women in high skill jobs</w:t>
      </w:r>
      <w:r w:rsidR="007B2AFB">
        <w:rPr>
          <w:rFonts w:ascii="Garamond" w:hAnsi="Garamond"/>
          <w:sz w:val="24"/>
          <w:szCs w:val="24"/>
        </w:rPr>
        <w:t>.</w:t>
      </w:r>
      <w:r w:rsidR="008D57F4">
        <w:rPr>
          <w:rFonts w:ascii="Garamond" w:hAnsi="Garamond"/>
          <w:sz w:val="24"/>
          <w:szCs w:val="24"/>
        </w:rPr>
        <w:t xml:space="preserve">  </w:t>
      </w:r>
      <w:r w:rsidR="009F11E5">
        <w:rPr>
          <w:rFonts w:ascii="Garamond" w:hAnsi="Garamond"/>
          <w:sz w:val="24"/>
          <w:szCs w:val="24"/>
        </w:rPr>
        <w:t xml:space="preserve">If this has subsequent effects on wages, we would expect </w:t>
      </w:r>
      <w:r w:rsidR="009F11E5" w:rsidRPr="008D57F4">
        <w:rPr>
          <w:rFonts w:ascii="Garamond" w:hAnsi="Garamond"/>
          <w:position w:val="-10"/>
          <w:sz w:val="24"/>
          <w:szCs w:val="24"/>
        </w:rPr>
        <w:object w:dxaOrig="279" w:dyaOrig="340">
          <v:shape id="_x0000_i1036" type="#_x0000_t75" style="width:14.25pt;height:17.25pt" o:ole="">
            <v:imagedata r:id="rId31" o:title=""/>
          </v:shape>
          <o:OLEObject Type="Embed" ProgID="Equation.3" ShapeID="_x0000_i1036" DrawAspect="Content" ObjectID="_1489935307" r:id="rId33"/>
        </w:object>
      </w:r>
      <w:r w:rsidR="009F11E5">
        <w:rPr>
          <w:rFonts w:ascii="Garamond" w:hAnsi="Garamond"/>
          <w:sz w:val="24"/>
          <w:szCs w:val="24"/>
        </w:rPr>
        <w:t xml:space="preserve">to be negative as well.  The impact on hours worked, however, is ambiguous, </w:t>
      </w:r>
      <w:r w:rsidR="00580133">
        <w:rPr>
          <w:rFonts w:ascii="Garamond" w:hAnsi="Garamond"/>
          <w:sz w:val="24"/>
          <w:szCs w:val="24"/>
        </w:rPr>
        <w:t xml:space="preserve">since </w:t>
      </w:r>
      <w:r w:rsidR="00580133">
        <w:rPr>
          <w:rFonts w:ascii="Garamond" w:hAnsi="Garamond"/>
          <w:sz w:val="24"/>
          <w:szCs w:val="24"/>
        </w:rPr>
        <w:lastRenderedPageBreak/>
        <w:t xml:space="preserve">depending on whether the income </w:t>
      </w:r>
      <w:r w:rsidR="00362FFE">
        <w:rPr>
          <w:rFonts w:ascii="Garamond" w:hAnsi="Garamond"/>
          <w:sz w:val="24"/>
          <w:szCs w:val="24"/>
        </w:rPr>
        <w:t>or substitution effect dominates</w:t>
      </w:r>
      <w:r w:rsidR="00580133">
        <w:rPr>
          <w:rFonts w:ascii="Garamond" w:hAnsi="Garamond"/>
          <w:sz w:val="24"/>
          <w:szCs w:val="24"/>
        </w:rPr>
        <w:t xml:space="preserve">, workers may reduce or increase hours worked with </w:t>
      </w:r>
      <w:r w:rsidR="009F11E5">
        <w:rPr>
          <w:rFonts w:ascii="Garamond" w:hAnsi="Garamond"/>
          <w:sz w:val="24"/>
          <w:szCs w:val="24"/>
        </w:rPr>
        <w:t xml:space="preserve">higher </w:t>
      </w:r>
      <w:r w:rsidR="00580133">
        <w:rPr>
          <w:rFonts w:ascii="Garamond" w:hAnsi="Garamond"/>
          <w:sz w:val="24"/>
          <w:szCs w:val="24"/>
        </w:rPr>
        <w:t>paying jobs</w:t>
      </w:r>
      <w:r w:rsidR="009F11E5">
        <w:rPr>
          <w:rFonts w:ascii="Garamond" w:hAnsi="Garamond"/>
          <w:sz w:val="24"/>
          <w:szCs w:val="24"/>
        </w:rPr>
        <w:t xml:space="preserve">.  </w:t>
      </w:r>
      <w:r w:rsidR="008D57F4">
        <w:rPr>
          <w:rFonts w:ascii="Garamond" w:hAnsi="Garamond"/>
          <w:sz w:val="24"/>
          <w:szCs w:val="24"/>
        </w:rPr>
        <w:t xml:space="preserve">  </w:t>
      </w:r>
    </w:p>
    <w:p w:rsidR="008D44F5" w:rsidRDefault="008D57F4" w:rsidP="00CE197E">
      <w:pPr>
        <w:spacing w:after="0" w:line="480" w:lineRule="auto"/>
        <w:ind w:firstLine="432"/>
        <w:rPr>
          <w:rFonts w:ascii="Garamond" w:hAnsi="Garamond"/>
          <w:sz w:val="24"/>
          <w:szCs w:val="24"/>
        </w:rPr>
      </w:pPr>
      <w:r>
        <w:rPr>
          <w:rFonts w:ascii="Garamond" w:hAnsi="Garamond"/>
          <w:sz w:val="24"/>
          <w:szCs w:val="24"/>
        </w:rPr>
        <w:t>There are two concerns ov</w:t>
      </w:r>
      <w:r w:rsidR="00AD18FA">
        <w:rPr>
          <w:rFonts w:ascii="Garamond" w:hAnsi="Garamond"/>
          <w:sz w:val="24"/>
          <w:szCs w:val="24"/>
        </w:rPr>
        <w:t>er the endogeneity of the sex</w:t>
      </w:r>
      <w:r>
        <w:rPr>
          <w:rFonts w:ascii="Garamond" w:hAnsi="Garamond"/>
          <w:sz w:val="24"/>
          <w:szCs w:val="24"/>
        </w:rPr>
        <w:t xml:space="preserve"> ratio.  First, th</w:t>
      </w:r>
      <w:r w:rsidR="00AD18FA">
        <w:rPr>
          <w:rFonts w:ascii="Garamond" w:hAnsi="Garamond"/>
          <w:sz w:val="24"/>
          <w:szCs w:val="24"/>
        </w:rPr>
        <w:t>ere are concerns that the sex</w:t>
      </w:r>
      <w:r>
        <w:rPr>
          <w:rFonts w:ascii="Garamond" w:hAnsi="Garamond"/>
          <w:sz w:val="24"/>
          <w:szCs w:val="24"/>
        </w:rPr>
        <w:t xml:space="preserve"> ratio </w:t>
      </w:r>
      <w:r w:rsidR="002E0B91">
        <w:rPr>
          <w:rFonts w:ascii="Garamond" w:hAnsi="Garamond"/>
          <w:sz w:val="24"/>
          <w:szCs w:val="24"/>
        </w:rPr>
        <w:t xml:space="preserve">could be influenced by </w:t>
      </w:r>
      <w:r w:rsidR="008D44F5">
        <w:rPr>
          <w:rFonts w:ascii="Garamond" w:hAnsi="Garamond"/>
          <w:sz w:val="24"/>
          <w:szCs w:val="24"/>
        </w:rPr>
        <w:t>women’s re-location decisions</w:t>
      </w:r>
      <w:r w:rsidR="002E0B91">
        <w:rPr>
          <w:rFonts w:ascii="Garamond" w:hAnsi="Garamond"/>
          <w:sz w:val="24"/>
          <w:szCs w:val="24"/>
        </w:rPr>
        <w:t>, if for instance, women</w:t>
      </w:r>
      <w:r>
        <w:rPr>
          <w:rFonts w:ascii="Garamond" w:hAnsi="Garamond"/>
          <w:sz w:val="24"/>
          <w:szCs w:val="24"/>
        </w:rPr>
        <w:t xml:space="preserve"> with characteristics that impact their labor market outcomes move to states with more </w:t>
      </w:r>
      <w:r w:rsidR="002E0B91">
        <w:rPr>
          <w:rFonts w:ascii="Garamond" w:hAnsi="Garamond"/>
          <w:sz w:val="24"/>
          <w:szCs w:val="24"/>
        </w:rPr>
        <w:t>(</w:t>
      </w:r>
      <w:r>
        <w:rPr>
          <w:rFonts w:ascii="Garamond" w:hAnsi="Garamond"/>
          <w:sz w:val="24"/>
          <w:szCs w:val="24"/>
        </w:rPr>
        <w:t>or less</w:t>
      </w:r>
      <w:r w:rsidR="002E0B91">
        <w:rPr>
          <w:rFonts w:ascii="Garamond" w:hAnsi="Garamond"/>
          <w:sz w:val="24"/>
          <w:szCs w:val="24"/>
        </w:rPr>
        <w:t>)</w:t>
      </w:r>
      <w:r>
        <w:rPr>
          <w:rFonts w:ascii="Garamond" w:hAnsi="Garamond"/>
          <w:sz w:val="24"/>
          <w:szCs w:val="24"/>
        </w:rPr>
        <w:t xml:space="preserve"> favorable </w:t>
      </w:r>
      <w:r w:rsidR="002E0B91">
        <w:rPr>
          <w:rFonts w:ascii="Garamond" w:hAnsi="Garamond"/>
          <w:sz w:val="24"/>
          <w:szCs w:val="24"/>
        </w:rPr>
        <w:t>sex</w:t>
      </w:r>
      <w:r>
        <w:rPr>
          <w:rFonts w:ascii="Garamond" w:hAnsi="Garamond"/>
          <w:sz w:val="24"/>
          <w:szCs w:val="24"/>
        </w:rPr>
        <w:t xml:space="preserve"> ratios. As a result, the </w:t>
      </w:r>
      <w:r w:rsidR="00AD18FA">
        <w:rPr>
          <w:rFonts w:ascii="Garamond" w:hAnsi="Garamond"/>
          <w:sz w:val="24"/>
          <w:szCs w:val="24"/>
        </w:rPr>
        <w:t xml:space="preserve">sex </w:t>
      </w:r>
      <w:r>
        <w:rPr>
          <w:rFonts w:ascii="Garamond" w:hAnsi="Garamond"/>
          <w:sz w:val="24"/>
          <w:szCs w:val="24"/>
        </w:rPr>
        <w:t xml:space="preserve">ratios </w:t>
      </w:r>
      <w:r w:rsidRPr="00C50DB6">
        <w:rPr>
          <w:rFonts w:ascii="Garamond" w:hAnsi="Garamond"/>
          <w:sz w:val="24"/>
          <w:szCs w:val="24"/>
        </w:rPr>
        <w:t>may reflect the outmigration of men, but also the in-migration of women with certain characteristics.</w:t>
      </w:r>
      <w:r w:rsidR="00FC67A7" w:rsidRPr="00C50DB6">
        <w:rPr>
          <w:rFonts w:ascii="Garamond" w:hAnsi="Garamond"/>
          <w:sz w:val="24"/>
          <w:szCs w:val="24"/>
        </w:rPr>
        <w:t xml:space="preserve">  </w:t>
      </w:r>
      <w:r w:rsidR="004526F8" w:rsidRPr="00C50DB6">
        <w:rPr>
          <w:rFonts w:ascii="Garamond" w:hAnsi="Garamond"/>
          <w:sz w:val="24"/>
          <w:szCs w:val="24"/>
        </w:rPr>
        <w:t xml:space="preserve">Thus to ensure </w:t>
      </w:r>
      <w:r w:rsidR="00BD0F37" w:rsidRPr="00C50DB6">
        <w:rPr>
          <w:rFonts w:ascii="Garamond" w:hAnsi="Garamond"/>
          <w:sz w:val="24"/>
          <w:szCs w:val="24"/>
        </w:rPr>
        <w:t xml:space="preserve">that </w:t>
      </w:r>
      <w:r w:rsidR="004526F8" w:rsidRPr="00C50DB6">
        <w:rPr>
          <w:rFonts w:ascii="Garamond" w:hAnsi="Garamond"/>
          <w:sz w:val="24"/>
          <w:szCs w:val="24"/>
        </w:rPr>
        <w:t xml:space="preserve">the </w:t>
      </w:r>
      <w:r w:rsidR="00AD18FA" w:rsidRPr="00C50DB6">
        <w:rPr>
          <w:rFonts w:ascii="Garamond" w:hAnsi="Garamond"/>
          <w:sz w:val="24"/>
          <w:szCs w:val="24"/>
        </w:rPr>
        <w:t xml:space="preserve">sex </w:t>
      </w:r>
      <w:r w:rsidR="004526F8" w:rsidRPr="00C50DB6">
        <w:rPr>
          <w:rFonts w:ascii="Garamond" w:hAnsi="Garamond"/>
          <w:sz w:val="24"/>
          <w:szCs w:val="24"/>
        </w:rPr>
        <w:t>ratios do not purely reflect the changing location decisions of women, we</w:t>
      </w:r>
      <w:r w:rsidR="004526F8">
        <w:rPr>
          <w:rFonts w:ascii="Garamond" w:hAnsi="Garamond"/>
          <w:sz w:val="24"/>
          <w:szCs w:val="24"/>
        </w:rPr>
        <w:t xml:space="preserve"> limit the sample to non-movers</w:t>
      </w:r>
      <w:r w:rsidR="00CE197E">
        <w:rPr>
          <w:rFonts w:ascii="Garamond" w:hAnsi="Garamond"/>
          <w:sz w:val="24"/>
          <w:szCs w:val="24"/>
        </w:rPr>
        <w:t>, defined as those who reside in their state of birth.  This is the closest we can come to eliminating movers, as the</w:t>
      </w:r>
      <w:r w:rsidR="004526F8">
        <w:rPr>
          <w:rFonts w:ascii="Garamond" w:hAnsi="Garamond"/>
          <w:sz w:val="24"/>
          <w:szCs w:val="24"/>
        </w:rPr>
        <w:t xml:space="preserve"> census does not include location histories. </w:t>
      </w:r>
    </w:p>
    <w:p w:rsidR="004551C0" w:rsidRDefault="008D44F5" w:rsidP="00A749C3">
      <w:pPr>
        <w:spacing w:after="0" w:line="480" w:lineRule="auto"/>
        <w:ind w:firstLine="720"/>
        <w:rPr>
          <w:rFonts w:ascii="Garamond" w:hAnsi="Garamond"/>
          <w:sz w:val="24"/>
          <w:szCs w:val="24"/>
        </w:rPr>
      </w:pPr>
      <w:r>
        <w:rPr>
          <w:rFonts w:ascii="Garamond" w:hAnsi="Garamond"/>
          <w:sz w:val="24"/>
          <w:szCs w:val="24"/>
        </w:rPr>
        <w:t>The larger concern about endogeneity, however, stems from labor demand shocks.  For example, if an industry</w:t>
      </w:r>
      <w:r w:rsidR="000422EC">
        <w:rPr>
          <w:rFonts w:ascii="Garamond" w:hAnsi="Garamond"/>
          <w:sz w:val="24"/>
          <w:szCs w:val="24"/>
        </w:rPr>
        <w:t xml:space="preserve"> that employs a large section of the population shrin</w:t>
      </w:r>
      <w:r w:rsidR="001018E5">
        <w:rPr>
          <w:rFonts w:ascii="Garamond" w:hAnsi="Garamond"/>
          <w:sz w:val="24"/>
          <w:szCs w:val="24"/>
        </w:rPr>
        <w:t>ks,</w:t>
      </w:r>
      <w:r w:rsidR="00965BCB">
        <w:rPr>
          <w:rFonts w:ascii="Garamond" w:hAnsi="Garamond"/>
          <w:sz w:val="24"/>
          <w:szCs w:val="24"/>
        </w:rPr>
        <w:t xml:space="preserve"> men may migrate</w:t>
      </w:r>
      <w:r w:rsidR="000422EC">
        <w:rPr>
          <w:rFonts w:ascii="Garamond" w:hAnsi="Garamond"/>
          <w:sz w:val="24"/>
          <w:szCs w:val="24"/>
        </w:rPr>
        <w:t xml:space="preserve"> in search of work while women who stay </w:t>
      </w:r>
      <w:r w:rsidR="00965BCB">
        <w:rPr>
          <w:rFonts w:ascii="Garamond" w:hAnsi="Garamond"/>
          <w:sz w:val="24"/>
          <w:szCs w:val="24"/>
        </w:rPr>
        <w:t>face reduced employment opportunities</w:t>
      </w:r>
      <w:r w:rsidR="000422EC">
        <w:rPr>
          <w:rFonts w:ascii="Garamond" w:hAnsi="Garamond"/>
          <w:sz w:val="24"/>
          <w:szCs w:val="24"/>
        </w:rPr>
        <w:t xml:space="preserve">. </w:t>
      </w:r>
      <w:r w:rsidR="00F81CF2">
        <w:rPr>
          <w:rFonts w:ascii="Garamond" w:hAnsi="Garamond"/>
          <w:sz w:val="24"/>
          <w:szCs w:val="24"/>
        </w:rPr>
        <w:t xml:space="preserve">To control for this we include the percentage of the state’s labor force by census year that is employed in each industry, as defined by 2 digit codes.  This captures some changes in the employment landscape for men and women over time.  </w:t>
      </w:r>
      <w:r w:rsidR="00A749C3">
        <w:rPr>
          <w:rFonts w:ascii="Garamond" w:hAnsi="Garamond"/>
          <w:sz w:val="24"/>
          <w:szCs w:val="24"/>
        </w:rPr>
        <w:t>These measures, however, likely do not fully cap</w:t>
      </w:r>
      <w:r w:rsidR="00943D32">
        <w:rPr>
          <w:rFonts w:ascii="Garamond" w:hAnsi="Garamond"/>
          <w:sz w:val="24"/>
          <w:szCs w:val="24"/>
        </w:rPr>
        <w:t>ture labor demand shocks, and</w:t>
      </w:r>
      <w:r w:rsidR="008A18A0">
        <w:rPr>
          <w:rFonts w:ascii="Garamond" w:hAnsi="Garamond"/>
          <w:sz w:val="24"/>
          <w:szCs w:val="24"/>
        </w:rPr>
        <w:t xml:space="preserve"> therefore</w:t>
      </w:r>
      <w:r w:rsidR="00943D32">
        <w:rPr>
          <w:rFonts w:ascii="Garamond" w:hAnsi="Garamond"/>
          <w:sz w:val="24"/>
          <w:szCs w:val="24"/>
        </w:rPr>
        <w:t xml:space="preserve"> </w:t>
      </w:r>
      <w:r w:rsidR="002E0B91">
        <w:rPr>
          <w:rFonts w:ascii="Garamond" w:hAnsi="Garamond"/>
          <w:sz w:val="24"/>
          <w:szCs w:val="24"/>
        </w:rPr>
        <w:t xml:space="preserve">to further address this concern, </w:t>
      </w:r>
      <w:r w:rsidR="00943D32">
        <w:rPr>
          <w:rFonts w:ascii="Garamond" w:hAnsi="Garamond"/>
          <w:sz w:val="24"/>
          <w:szCs w:val="24"/>
        </w:rPr>
        <w:t>we</w:t>
      </w:r>
      <w:r w:rsidR="008A18A0">
        <w:rPr>
          <w:rFonts w:ascii="Garamond" w:hAnsi="Garamond"/>
          <w:sz w:val="24"/>
          <w:szCs w:val="24"/>
        </w:rPr>
        <w:t xml:space="preserve"> instrument for the</w:t>
      </w:r>
      <w:r w:rsidR="00AD18FA">
        <w:rPr>
          <w:rFonts w:ascii="Garamond" w:hAnsi="Garamond"/>
          <w:sz w:val="24"/>
          <w:szCs w:val="24"/>
        </w:rPr>
        <w:t xml:space="preserve"> sex</w:t>
      </w:r>
      <w:r w:rsidR="008A18A0">
        <w:rPr>
          <w:rFonts w:ascii="Garamond" w:hAnsi="Garamond"/>
          <w:sz w:val="24"/>
          <w:szCs w:val="24"/>
        </w:rPr>
        <w:t xml:space="preserve"> ratios</w:t>
      </w:r>
      <w:r w:rsidR="00547EF3">
        <w:rPr>
          <w:rFonts w:ascii="Garamond" w:hAnsi="Garamond"/>
          <w:sz w:val="24"/>
          <w:szCs w:val="24"/>
        </w:rPr>
        <w:t xml:space="preserve"> using a measure</w:t>
      </w:r>
      <w:r w:rsidR="008A18A0">
        <w:rPr>
          <w:rFonts w:ascii="Garamond" w:hAnsi="Garamond"/>
          <w:sz w:val="24"/>
          <w:szCs w:val="24"/>
        </w:rPr>
        <w:t xml:space="preserve"> that relies on shocks to the demand for Mexican migrant labor from the U.S.  The instrument exploits the fact that international migration is the key source of changes in </w:t>
      </w:r>
      <w:r w:rsidR="00AD18FA">
        <w:rPr>
          <w:rFonts w:ascii="Garamond" w:hAnsi="Garamond"/>
          <w:sz w:val="24"/>
          <w:szCs w:val="24"/>
        </w:rPr>
        <w:t xml:space="preserve">sex </w:t>
      </w:r>
      <w:r w:rsidR="008A18A0">
        <w:rPr>
          <w:rFonts w:ascii="Garamond" w:hAnsi="Garamond"/>
          <w:sz w:val="24"/>
          <w:szCs w:val="24"/>
        </w:rPr>
        <w:t>ratios over time and the vast majority of Mexican mi</w:t>
      </w:r>
      <w:r w:rsidR="00FA3F6E">
        <w:rPr>
          <w:rFonts w:ascii="Garamond" w:hAnsi="Garamond"/>
          <w:sz w:val="24"/>
          <w:szCs w:val="24"/>
        </w:rPr>
        <w:t>grants go to the United States</w:t>
      </w:r>
      <w:r w:rsidR="008A18A0">
        <w:rPr>
          <w:rFonts w:ascii="Garamond" w:hAnsi="Garamond"/>
          <w:sz w:val="24"/>
          <w:szCs w:val="24"/>
        </w:rPr>
        <w:t xml:space="preserve">.  </w:t>
      </w:r>
    </w:p>
    <w:p w:rsidR="00E908DC" w:rsidRDefault="00AB2778" w:rsidP="00FA3E53">
      <w:pPr>
        <w:spacing w:after="0" w:line="480" w:lineRule="auto"/>
        <w:ind w:firstLine="432"/>
        <w:rPr>
          <w:rFonts w:ascii="Garamond" w:hAnsi="Garamond"/>
          <w:sz w:val="24"/>
          <w:szCs w:val="24"/>
        </w:rPr>
      </w:pPr>
      <w:r>
        <w:rPr>
          <w:rFonts w:ascii="Garamond" w:hAnsi="Garamond"/>
          <w:sz w:val="24"/>
          <w:szCs w:val="24"/>
        </w:rPr>
        <w:t>Migration flows</w:t>
      </w:r>
      <w:r w:rsidR="008A18A0">
        <w:rPr>
          <w:rFonts w:ascii="Garamond" w:hAnsi="Garamond"/>
          <w:sz w:val="24"/>
          <w:szCs w:val="24"/>
        </w:rPr>
        <w:t xml:space="preserve"> are a function of the supply o</w:t>
      </w:r>
      <w:r w:rsidR="00965BCB">
        <w:rPr>
          <w:rFonts w:ascii="Garamond" w:hAnsi="Garamond"/>
          <w:sz w:val="24"/>
          <w:szCs w:val="24"/>
        </w:rPr>
        <w:t>f labor from Mexico</w:t>
      </w:r>
      <w:r w:rsidR="008A18A0">
        <w:rPr>
          <w:rFonts w:ascii="Garamond" w:hAnsi="Garamond"/>
          <w:sz w:val="24"/>
          <w:szCs w:val="24"/>
        </w:rPr>
        <w:t xml:space="preserve"> and the</w:t>
      </w:r>
      <w:r w:rsidR="00702B0F">
        <w:rPr>
          <w:rFonts w:ascii="Garamond" w:hAnsi="Garamond"/>
          <w:sz w:val="24"/>
          <w:szCs w:val="24"/>
        </w:rPr>
        <w:t xml:space="preserve"> demand for Mexican labor in</w:t>
      </w:r>
      <w:r w:rsidR="008A18A0">
        <w:rPr>
          <w:rFonts w:ascii="Garamond" w:hAnsi="Garamond"/>
          <w:sz w:val="24"/>
          <w:szCs w:val="24"/>
        </w:rPr>
        <w:t xml:space="preserve"> U.S.</w:t>
      </w:r>
      <w:r w:rsidR="00702B0F">
        <w:rPr>
          <w:rFonts w:ascii="Garamond" w:hAnsi="Garamond"/>
          <w:sz w:val="24"/>
          <w:szCs w:val="24"/>
        </w:rPr>
        <w:t xml:space="preserve"> markets.</w:t>
      </w:r>
      <w:r w:rsidR="008A18A0">
        <w:rPr>
          <w:rFonts w:ascii="Garamond" w:hAnsi="Garamond"/>
          <w:sz w:val="24"/>
          <w:szCs w:val="24"/>
        </w:rPr>
        <w:t xml:space="preserve">  </w:t>
      </w:r>
      <w:r w:rsidR="00913DDF">
        <w:rPr>
          <w:rFonts w:ascii="Garamond" w:hAnsi="Garamond"/>
          <w:sz w:val="24"/>
          <w:szCs w:val="24"/>
        </w:rPr>
        <w:t xml:space="preserve">The supply of labor likely is endogenous to the labor force outcomes of women who stay behind, but </w:t>
      </w:r>
      <w:r w:rsidR="002E0B91">
        <w:rPr>
          <w:rFonts w:ascii="Garamond" w:hAnsi="Garamond"/>
          <w:sz w:val="24"/>
          <w:szCs w:val="24"/>
        </w:rPr>
        <w:t xml:space="preserve">under the assumption that demand is driven by factors that are </w:t>
      </w:r>
      <w:r w:rsidR="002E0B91">
        <w:rPr>
          <w:rFonts w:ascii="Garamond" w:hAnsi="Garamond"/>
          <w:sz w:val="24"/>
          <w:szCs w:val="24"/>
        </w:rPr>
        <w:lastRenderedPageBreak/>
        <w:t xml:space="preserve">idiosyncratic to local U.S. markets, </w:t>
      </w:r>
      <w:r w:rsidR="00913DDF">
        <w:rPr>
          <w:rFonts w:ascii="Garamond" w:hAnsi="Garamond"/>
          <w:sz w:val="24"/>
          <w:szCs w:val="24"/>
        </w:rPr>
        <w:t>the demand f</w:t>
      </w:r>
      <w:r w:rsidR="00FA3E53">
        <w:rPr>
          <w:rFonts w:ascii="Garamond" w:hAnsi="Garamond"/>
          <w:sz w:val="24"/>
          <w:szCs w:val="24"/>
        </w:rPr>
        <w:t>or labor from abroad is not.</w:t>
      </w:r>
      <w:r w:rsidR="00913DDF">
        <w:rPr>
          <w:rFonts w:ascii="Garamond" w:hAnsi="Garamond"/>
          <w:sz w:val="24"/>
          <w:szCs w:val="24"/>
        </w:rPr>
        <w:t xml:space="preserve">  I</w:t>
      </w:r>
      <w:r w:rsidR="00536585">
        <w:rPr>
          <w:rFonts w:ascii="Garamond" w:hAnsi="Garamond"/>
          <w:sz w:val="24"/>
          <w:szCs w:val="24"/>
        </w:rPr>
        <w:t>f demand from the U.S. is</w:t>
      </w:r>
      <w:r w:rsidR="00913DDF">
        <w:rPr>
          <w:rFonts w:ascii="Garamond" w:hAnsi="Garamond"/>
          <w:sz w:val="24"/>
          <w:szCs w:val="24"/>
        </w:rPr>
        <w:t xml:space="preserve"> de-linked from factors in Mexico that impact women’s labor force outcomes, we can</w:t>
      </w:r>
      <w:r w:rsidR="00536585">
        <w:rPr>
          <w:rFonts w:ascii="Garamond" w:hAnsi="Garamond"/>
          <w:sz w:val="24"/>
          <w:szCs w:val="24"/>
        </w:rPr>
        <w:t xml:space="preserve"> use a measure of this demand as an instrument for</w:t>
      </w:r>
      <w:r w:rsidR="00AD18FA">
        <w:rPr>
          <w:rFonts w:ascii="Garamond" w:hAnsi="Garamond"/>
          <w:sz w:val="24"/>
          <w:szCs w:val="24"/>
        </w:rPr>
        <w:t xml:space="preserve"> sex</w:t>
      </w:r>
      <w:r w:rsidR="00536585">
        <w:rPr>
          <w:rFonts w:ascii="Garamond" w:hAnsi="Garamond"/>
          <w:sz w:val="24"/>
          <w:szCs w:val="24"/>
        </w:rPr>
        <w:t xml:space="preserve"> ratios</w:t>
      </w:r>
      <w:r w:rsidR="00913DDF">
        <w:rPr>
          <w:rFonts w:ascii="Garamond" w:hAnsi="Garamond"/>
          <w:sz w:val="24"/>
          <w:szCs w:val="24"/>
        </w:rPr>
        <w:t xml:space="preserve">.  </w:t>
      </w:r>
      <w:r w:rsidR="00E908DC">
        <w:rPr>
          <w:rFonts w:ascii="Garamond" w:hAnsi="Garamond"/>
          <w:sz w:val="24"/>
          <w:szCs w:val="24"/>
        </w:rPr>
        <w:t>Key to the feasibility of this measure</w:t>
      </w:r>
      <w:r w:rsidR="00FA3E53">
        <w:rPr>
          <w:rFonts w:ascii="Garamond" w:hAnsi="Garamond"/>
          <w:sz w:val="24"/>
          <w:szCs w:val="24"/>
        </w:rPr>
        <w:t xml:space="preserve"> is the fact that</w:t>
      </w:r>
      <w:r w:rsidR="00626F6C" w:rsidRPr="00626F6C">
        <w:rPr>
          <w:rFonts w:ascii="Garamond" w:hAnsi="Garamond"/>
          <w:sz w:val="24"/>
          <w:szCs w:val="24"/>
        </w:rPr>
        <w:t xml:space="preserve"> </w:t>
      </w:r>
      <w:r w:rsidR="00702B0F" w:rsidRPr="00626F6C">
        <w:rPr>
          <w:rFonts w:ascii="Garamond" w:hAnsi="Garamond"/>
          <w:sz w:val="24"/>
          <w:szCs w:val="24"/>
        </w:rPr>
        <w:t>Mexican states send migrants to d</w:t>
      </w:r>
      <w:r w:rsidR="00276D06" w:rsidRPr="00626F6C">
        <w:rPr>
          <w:rFonts w:ascii="Garamond" w:hAnsi="Garamond"/>
          <w:sz w:val="24"/>
          <w:szCs w:val="24"/>
        </w:rPr>
        <w:t>iffer</w:t>
      </w:r>
      <w:r w:rsidR="00626F6C" w:rsidRPr="00626F6C">
        <w:rPr>
          <w:rFonts w:ascii="Garamond" w:hAnsi="Garamond"/>
          <w:sz w:val="24"/>
          <w:szCs w:val="24"/>
        </w:rPr>
        <w:t>ent locations in the U.S. and</w:t>
      </w:r>
      <w:r w:rsidR="00276D06" w:rsidRPr="00626F6C">
        <w:rPr>
          <w:rFonts w:ascii="Garamond" w:hAnsi="Garamond"/>
          <w:sz w:val="24"/>
          <w:szCs w:val="24"/>
        </w:rPr>
        <w:t xml:space="preserve"> labor demand</w:t>
      </w:r>
      <w:r w:rsidR="00626F6C">
        <w:rPr>
          <w:rFonts w:ascii="Garamond" w:hAnsi="Garamond"/>
          <w:sz w:val="24"/>
          <w:szCs w:val="24"/>
        </w:rPr>
        <w:t>, in turn,</w:t>
      </w:r>
      <w:r w:rsidR="00626F6C" w:rsidRPr="00626F6C">
        <w:rPr>
          <w:rFonts w:ascii="Garamond" w:hAnsi="Garamond"/>
          <w:sz w:val="24"/>
          <w:szCs w:val="24"/>
        </w:rPr>
        <w:t xml:space="preserve"> varies</w:t>
      </w:r>
      <w:r w:rsidR="00276D06" w:rsidRPr="00626F6C">
        <w:rPr>
          <w:rFonts w:ascii="Garamond" w:hAnsi="Garamond"/>
          <w:sz w:val="24"/>
          <w:szCs w:val="24"/>
        </w:rPr>
        <w:t xml:space="preserve"> across these locations</w:t>
      </w:r>
      <w:r w:rsidR="00626F6C" w:rsidRPr="00626F6C">
        <w:rPr>
          <w:rFonts w:ascii="Garamond" w:hAnsi="Garamond"/>
          <w:sz w:val="24"/>
          <w:szCs w:val="24"/>
        </w:rPr>
        <w:t xml:space="preserve">.  </w:t>
      </w:r>
      <w:r w:rsidR="00626F6C" w:rsidRPr="00C50DB6">
        <w:rPr>
          <w:rFonts w:ascii="Garamond" w:hAnsi="Garamond"/>
          <w:sz w:val="24"/>
          <w:szCs w:val="24"/>
        </w:rPr>
        <w:t xml:space="preserve">We detail this below.  The differences in where Mexican states </w:t>
      </w:r>
      <w:r w:rsidR="00E908DC" w:rsidRPr="00C50DB6">
        <w:rPr>
          <w:rFonts w:ascii="Garamond" w:hAnsi="Garamond"/>
          <w:sz w:val="24"/>
          <w:szCs w:val="24"/>
        </w:rPr>
        <w:t xml:space="preserve">send migrants </w:t>
      </w:r>
      <w:r w:rsidR="00C63D3C" w:rsidRPr="00C50DB6">
        <w:rPr>
          <w:rFonts w:ascii="Garamond" w:hAnsi="Garamond"/>
          <w:sz w:val="24"/>
          <w:szCs w:val="24"/>
        </w:rPr>
        <w:t xml:space="preserve">to </w:t>
      </w:r>
      <w:r w:rsidR="00E908DC" w:rsidRPr="00C50DB6">
        <w:rPr>
          <w:rFonts w:ascii="Garamond" w:hAnsi="Garamond"/>
          <w:sz w:val="24"/>
          <w:szCs w:val="24"/>
        </w:rPr>
        <w:t>the U.S. and in the</w:t>
      </w:r>
      <w:r w:rsidR="00626F6C" w:rsidRPr="00C50DB6">
        <w:rPr>
          <w:rFonts w:ascii="Garamond" w:hAnsi="Garamond"/>
          <w:sz w:val="24"/>
          <w:szCs w:val="24"/>
        </w:rPr>
        <w:t xml:space="preserve"> demand</w:t>
      </w:r>
      <w:r w:rsidR="00626F6C" w:rsidRPr="00626F6C">
        <w:rPr>
          <w:rFonts w:ascii="Garamond" w:hAnsi="Garamond"/>
          <w:sz w:val="24"/>
          <w:szCs w:val="24"/>
        </w:rPr>
        <w:t xml:space="preserve"> for</w:t>
      </w:r>
      <w:r w:rsidR="00E908DC">
        <w:rPr>
          <w:rFonts w:ascii="Garamond" w:hAnsi="Garamond"/>
          <w:sz w:val="24"/>
          <w:szCs w:val="24"/>
        </w:rPr>
        <w:t xml:space="preserve"> Mexican labor in the U.S. generate the</w:t>
      </w:r>
      <w:r w:rsidR="00626F6C" w:rsidRPr="00626F6C">
        <w:rPr>
          <w:rFonts w:ascii="Garamond" w:hAnsi="Garamond"/>
          <w:sz w:val="24"/>
          <w:szCs w:val="24"/>
        </w:rPr>
        <w:t xml:space="preserve"> variation</w:t>
      </w:r>
      <w:r w:rsidR="00E908DC">
        <w:rPr>
          <w:rFonts w:ascii="Garamond" w:hAnsi="Garamond"/>
          <w:sz w:val="24"/>
          <w:szCs w:val="24"/>
        </w:rPr>
        <w:t xml:space="preserve"> needed to predict</w:t>
      </w:r>
      <w:r w:rsidR="00AD18FA">
        <w:rPr>
          <w:rFonts w:ascii="Garamond" w:hAnsi="Garamond"/>
          <w:sz w:val="24"/>
          <w:szCs w:val="24"/>
        </w:rPr>
        <w:t xml:space="preserve"> sex</w:t>
      </w:r>
      <w:r w:rsidR="00626F6C" w:rsidRPr="00626F6C">
        <w:rPr>
          <w:rFonts w:ascii="Garamond" w:hAnsi="Garamond"/>
          <w:sz w:val="24"/>
          <w:szCs w:val="24"/>
        </w:rPr>
        <w:t xml:space="preserve"> ratios across Mexican states and time. </w:t>
      </w:r>
      <w:r w:rsidR="00626F6C">
        <w:rPr>
          <w:rFonts w:ascii="Garamond" w:hAnsi="Garamond"/>
          <w:sz w:val="24"/>
          <w:szCs w:val="24"/>
        </w:rPr>
        <w:t xml:space="preserve"> </w:t>
      </w:r>
    </w:p>
    <w:p w:rsidR="00E00829" w:rsidRDefault="001754A5" w:rsidP="000551BD">
      <w:pPr>
        <w:spacing w:after="0" w:line="480" w:lineRule="auto"/>
        <w:ind w:firstLine="432"/>
        <w:rPr>
          <w:rFonts w:ascii="Garamond" w:hAnsi="Garamond"/>
          <w:sz w:val="24"/>
          <w:szCs w:val="24"/>
        </w:rPr>
      </w:pPr>
      <w:r>
        <w:rPr>
          <w:rFonts w:ascii="Garamond" w:hAnsi="Garamond"/>
          <w:sz w:val="24"/>
          <w:szCs w:val="24"/>
        </w:rPr>
        <w:t>To generate a measure of the demand for Mexican migrants in the U.S. we</w:t>
      </w:r>
      <w:r w:rsidR="00AB2778">
        <w:rPr>
          <w:rFonts w:ascii="Garamond" w:hAnsi="Garamond"/>
          <w:sz w:val="24"/>
          <w:szCs w:val="24"/>
        </w:rPr>
        <w:t xml:space="preserve"> create an instrument that is very simi</w:t>
      </w:r>
      <w:r>
        <w:rPr>
          <w:rFonts w:ascii="Garamond" w:hAnsi="Garamond"/>
          <w:sz w:val="24"/>
          <w:szCs w:val="24"/>
        </w:rPr>
        <w:t>lar to that developed by</w:t>
      </w:r>
      <w:r w:rsidR="00AB2778">
        <w:rPr>
          <w:rFonts w:ascii="Garamond" w:hAnsi="Garamond"/>
          <w:sz w:val="24"/>
          <w:szCs w:val="24"/>
        </w:rPr>
        <w:t xml:space="preserve"> Card (2001)</w:t>
      </w:r>
      <w:r w:rsidR="00E00829">
        <w:rPr>
          <w:rFonts w:ascii="Garamond" w:hAnsi="Garamond"/>
          <w:sz w:val="24"/>
          <w:szCs w:val="24"/>
        </w:rPr>
        <w:t>:</w:t>
      </w:r>
      <w:r w:rsidR="0060632D">
        <w:rPr>
          <w:rStyle w:val="FootnoteReference"/>
          <w:rFonts w:ascii="Garamond" w:hAnsi="Garamond"/>
          <w:sz w:val="24"/>
          <w:szCs w:val="24"/>
        </w:rPr>
        <w:footnoteReference w:id="12"/>
      </w:r>
      <w:r w:rsidR="00AB2778">
        <w:rPr>
          <w:rFonts w:ascii="Garamond" w:hAnsi="Garamond"/>
          <w:sz w:val="24"/>
          <w:szCs w:val="24"/>
        </w:rPr>
        <w:t xml:space="preserve">  </w:t>
      </w:r>
    </w:p>
    <w:p w:rsidR="00E00829" w:rsidRDefault="00AB2778" w:rsidP="000551BD">
      <w:pPr>
        <w:spacing w:after="0" w:line="480" w:lineRule="auto"/>
        <w:ind w:firstLine="432"/>
        <w:rPr>
          <w:rFonts w:ascii="Garamond" w:hAnsi="Garamond"/>
          <w:sz w:val="24"/>
          <w:szCs w:val="24"/>
        </w:rPr>
      </w:pPr>
      <w:r>
        <w:rPr>
          <w:rFonts w:ascii="Garamond" w:hAnsi="Garamond"/>
          <w:sz w:val="24"/>
          <w:szCs w:val="24"/>
        </w:rPr>
        <w:t>L</w:t>
      </w:r>
      <w:r w:rsidR="00B36DF4">
        <w:rPr>
          <w:rFonts w:ascii="Garamond" w:hAnsi="Garamond"/>
          <w:sz w:val="24"/>
          <w:szCs w:val="24"/>
        </w:rPr>
        <w:t>et</w:t>
      </w:r>
      <w:r w:rsidR="000551BD" w:rsidRPr="00E908DC">
        <w:rPr>
          <w:rFonts w:ascii="Garamond" w:hAnsi="Garamond"/>
          <w:position w:val="-14"/>
          <w:sz w:val="24"/>
          <w:szCs w:val="24"/>
        </w:rPr>
        <w:object w:dxaOrig="639" w:dyaOrig="380">
          <v:shape id="_x0000_i1037" type="#_x0000_t75" style="width:32.25pt;height:18.75pt" o:ole="">
            <v:imagedata r:id="rId34" o:title=""/>
          </v:shape>
          <o:OLEObject Type="Embed" ProgID="Equation.3" ShapeID="_x0000_i1037" DrawAspect="Content" ObjectID="_1489935308" r:id="rId35"/>
        </w:object>
      </w:r>
      <w:r w:rsidR="000551BD">
        <w:rPr>
          <w:rFonts w:ascii="Garamond" w:hAnsi="Garamond"/>
          <w:sz w:val="24"/>
          <w:szCs w:val="24"/>
        </w:rPr>
        <w:t xml:space="preserve">number of male migrants from Mexico in </w:t>
      </w:r>
      <w:r w:rsidR="000551BD" w:rsidRPr="00941EF9">
        <w:rPr>
          <w:rFonts w:ascii="Garamond" w:hAnsi="Garamond"/>
          <w:sz w:val="24"/>
          <w:szCs w:val="24"/>
        </w:rPr>
        <w:t xml:space="preserve">U.S. state </w:t>
      </w:r>
      <w:r w:rsidR="000551BD" w:rsidRPr="00941EF9">
        <w:rPr>
          <w:rFonts w:ascii="Garamond" w:hAnsi="Garamond"/>
          <w:i/>
          <w:sz w:val="24"/>
          <w:szCs w:val="24"/>
        </w:rPr>
        <w:t>g</w:t>
      </w:r>
      <w:r w:rsidR="000551BD" w:rsidRPr="00941EF9">
        <w:rPr>
          <w:rFonts w:ascii="Garamond" w:hAnsi="Garamond"/>
          <w:sz w:val="24"/>
          <w:szCs w:val="24"/>
        </w:rPr>
        <w:t xml:space="preserve"> as of a given year.  </w:t>
      </w:r>
      <w:r w:rsidR="00B36DF4" w:rsidRPr="00941EF9">
        <w:rPr>
          <w:rFonts w:ascii="Garamond" w:hAnsi="Garamond"/>
          <w:sz w:val="24"/>
          <w:szCs w:val="24"/>
        </w:rPr>
        <w:t>This stock is a function of the demand conditions in U.S. state g and sup</w:t>
      </w:r>
      <w:r w:rsidR="00B36DF4">
        <w:rPr>
          <w:rFonts w:ascii="Garamond" w:hAnsi="Garamond"/>
          <w:sz w:val="24"/>
          <w:szCs w:val="24"/>
        </w:rPr>
        <w:t xml:space="preserve">ply conditions in the sending Mexican state.  </w:t>
      </w:r>
    </w:p>
    <w:p w:rsidR="00E00829" w:rsidRDefault="00B36DF4" w:rsidP="000551BD">
      <w:pPr>
        <w:spacing w:after="0" w:line="480" w:lineRule="auto"/>
        <w:ind w:firstLine="432"/>
        <w:rPr>
          <w:rFonts w:ascii="Garamond" w:hAnsi="Garamond"/>
          <w:sz w:val="24"/>
          <w:szCs w:val="24"/>
        </w:rPr>
      </w:pPr>
      <w:r>
        <w:rPr>
          <w:rFonts w:ascii="Garamond" w:hAnsi="Garamond"/>
          <w:sz w:val="24"/>
          <w:szCs w:val="24"/>
        </w:rPr>
        <w:t>Let</w:t>
      </w:r>
      <w:r w:rsidR="00DF66B4" w:rsidRPr="005F4B62">
        <w:rPr>
          <w:rFonts w:ascii="Garamond" w:hAnsi="Garamond"/>
          <w:position w:val="-14"/>
          <w:sz w:val="24"/>
          <w:szCs w:val="24"/>
        </w:rPr>
        <w:object w:dxaOrig="560" w:dyaOrig="380">
          <v:shape id="_x0000_i1038" type="#_x0000_t75" style="width:27.75pt;height:18.75pt" o:ole="">
            <v:imagedata r:id="rId36" o:title=""/>
          </v:shape>
          <o:OLEObject Type="Embed" ProgID="Equation.3" ShapeID="_x0000_i1038" DrawAspect="Content" ObjectID="_1489935309" r:id="rId37"/>
        </w:object>
      </w:r>
      <w:r w:rsidR="000551BD">
        <w:rPr>
          <w:rFonts w:ascii="Garamond" w:hAnsi="Garamond"/>
          <w:sz w:val="24"/>
          <w:szCs w:val="24"/>
        </w:rPr>
        <w:t xml:space="preserve">fraction of Mexican workers in U.S. state </w:t>
      </w:r>
      <w:proofErr w:type="spellStart"/>
      <w:r w:rsidR="000551BD" w:rsidRPr="00B36DF4">
        <w:rPr>
          <w:rFonts w:ascii="Garamond" w:hAnsi="Garamond"/>
          <w:i/>
          <w:sz w:val="24"/>
          <w:szCs w:val="24"/>
        </w:rPr>
        <w:t>g</w:t>
      </w:r>
      <w:r w:rsidR="000551BD">
        <w:rPr>
          <w:rFonts w:ascii="Garamond" w:hAnsi="Garamond"/>
          <w:sz w:val="24"/>
          <w:szCs w:val="24"/>
        </w:rPr>
        <w:t xml:space="preserve"> as</w:t>
      </w:r>
      <w:proofErr w:type="spellEnd"/>
      <w:r w:rsidR="000551BD">
        <w:rPr>
          <w:rFonts w:ascii="Garamond" w:hAnsi="Garamond"/>
          <w:sz w:val="24"/>
          <w:szCs w:val="24"/>
        </w:rPr>
        <w:t xml:space="preserve"> of a</w:t>
      </w:r>
      <w:r w:rsidR="00DF66B4">
        <w:rPr>
          <w:rFonts w:ascii="Garamond" w:hAnsi="Garamond"/>
          <w:sz w:val="24"/>
          <w:szCs w:val="24"/>
        </w:rPr>
        <w:t xml:space="preserve"> given year that are in cohort c</w:t>
      </w:r>
      <w:r w:rsidR="000551BD">
        <w:rPr>
          <w:rFonts w:ascii="Garamond" w:hAnsi="Garamond"/>
          <w:sz w:val="24"/>
          <w:szCs w:val="24"/>
        </w:rPr>
        <w:t xml:space="preserve">.  </w:t>
      </w:r>
      <w:r>
        <w:rPr>
          <w:rFonts w:ascii="Garamond" w:hAnsi="Garamond"/>
          <w:sz w:val="24"/>
          <w:szCs w:val="24"/>
        </w:rPr>
        <w:t>This captures differences in migration patterns by age group</w:t>
      </w:r>
      <w:r w:rsidR="002B17F1">
        <w:rPr>
          <w:rFonts w:ascii="Garamond" w:hAnsi="Garamond"/>
          <w:sz w:val="24"/>
          <w:szCs w:val="24"/>
        </w:rPr>
        <w:t xml:space="preserve">.  </w:t>
      </w:r>
    </w:p>
    <w:p w:rsidR="008A4F03" w:rsidRDefault="00BA7D6D" w:rsidP="000551BD">
      <w:pPr>
        <w:spacing w:after="0" w:line="480" w:lineRule="auto"/>
        <w:ind w:firstLine="432"/>
        <w:rPr>
          <w:rFonts w:ascii="Garamond" w:hAnsi="Garamond"/>
          <w:sz w:val="24"/>
          <w:szCs w:val="24"/>
        </w:rPr>
      </w:pPr>
      <w:r>
        <w:rPr>
          <w:rFonts w:ascii="Garamond" w:hAnsi="Garamond"/>
          <w:sz w:val="24"/>
          <w:szCs w:val="24"/>
        </w:rPr>
        <w:t>The combination of sending Mexican state and U.S. receiving state is determined by</w:t>
      </w:r>
    </w:p>
    <w:p w:rsidR="00BA7D6D" w:rsidRDefault="00BA7D6D" w:rsidP="000551BD">
      <w:pPr>
        <w:spacing w:after="0" w:line="480" w:lineRule="auto"/>
        <w:ind w:firstLine="432"/>
        <w:rPr>
          <w:rFonts w:ascii="Garamond" w:hAnsi="Garamond"/>
          <w:sz w:val="24"/>
          <w:szCs w:val="24"/>
        </w:rPr>
      </w:pPr>
      <w:r w:rsidRPr="00E908DC">
        <w:rPr>
          <w:rFonts w:ascii="Garamond" w:hAnsi="Garamond"/>
          <w:position w:val="-14"/>
          <w:sz w:val="24"/>
          <w:szCs w:val="24"/>
        </w:rPr>
        <w:object w:dxaOrig="580" w:dyaOrig="380">
          <v:shape id="_x0000_i1039" type="#_x0000_t75" style="width:29.25pt;height:18.75pt" o:ole="">
            <v:imagedata r:id="rId38" o:title=""/>
          </v:shape>
          <o:OLEObject Type="Embed" ProgID="Equation.3" ShapeID="_x0000_i1039" DrawAspect="Content" ObjectID="_1489935310" r:id="rId39"/>
        </w:object>
      </w:r>
      <w:proofErr w:type="gramStart"/>
      <w:r>
        <w:rPr>
          <w:rFonts w:ascii="Garamond" w:hAnsi="Garamond"/>
          <w:sz w:val="24"/>
          <w:szCs w:val="24"/>
        </w:rPr>
        <w:t>fraction</w:t>
      </w:r>
      <w:proofErr w:type="gramEnd"/>
      <w:r>
        <w:rPr>
          <w:rFonts w:ascii="Garamond" w:hAnsi="Garamond"/>
          <w:sz w:val="24"/>
          <w:szCs w:val="24"/>
        </w:rPr>
        <w:t xml:space="preserve"> of Mexican  in U.S. state </w:t>
      </w:r>
      <w:r w:rsidRPr="00941EF9">
        <w:rPr>
          <w:rFonts w:ascii="Garamond" w:hAnsi="Garamond"/>
          <w:i/>
          <w:sz w:val="24"/>
          <w:szCs w:val="24"/>
        </w:rPr>
        <w:t>g</w:t>
      </w:r>
      <w:r>
        <w:rPr>
          <w:rFonts w:ascii="Garamond" w:hAnsi="Garamond"/>
          <w:sz w:val="24"/>
          <w:szCs w:val="24"/>
        </w:rPr>
        <w:t xml:space="preserve"> that are from Mexican </w:t>
      </w:r>
      <w:proofErr w:type="spellStart"/>
      <w:r>
        <w:rPr>
          <w:rFonts w:ascii="Garamond" w:hAnsi="Garamond"/>
          <w:sz w:val="24"/>
          <w:szCs w:val="24"/>
        </w:rPr>
        <w:t xml:space="preserve">state </w:t>
      </w:r>
      <w:r>
        <w:rPr>
          <w:rFonts w:ascii="Garamond" w:hAnsi="Garamond"/>
          <w:i/>
          <w:sz w:val="24"/>
          <w:szCs w:val="24"/>
        </w:rPr>
        <w:t>s</w:t>
      </w:r>
      <w:proofErr w:type="spellEnd"/>
      <w:r>
        <w:rPr>
          <w:rFonts w:ascii="Garamond" w:hAnsi="Garamond"/>
          <w:sz w:val="24"/>
          <w:szCs w:val="24"/>
        </w:rPr>
        <w:t xml:space="preserve">.  These weights are time invariant and rely on the persistence of migration patterns over time.  </w:t>
      </w:r>
    </w:p>
    <w:p w:rsidR="00BA7D6D" w:rsidRDefault="00BA7D6D" w:rsidP="000551BD">
      <w:pPr>
        <w:spacing w:after="0" w:line="480" w:lineRule="auto"/>
        <w:ind w:firstLine="432"/>
        <w:rPr>
          <w:rFonts w:ascii="Garamond" w:hAnsi="Garamond"/>
          <w:sz w:val="24"/>
          <w:szCs w:val="24"/>
        </w:rPr>
      </w:pPr>
      <w:r w:rsidRPr="00943D32">
        <w:rPr>
          <w:rFonts w:ascii="Garamond" w:hAnsi="Garamond"/>
          <w:sz w:val="24"/>
          <w:szCs w:val="24"/>
        </w:rPr>
        <w:t>The instrumental va</w:t>
      </w:r>
      <w:r>
        <w:rPr>
          <w:rFonts w:ascii="Garamond" w:hAnsi="Garamond"/>
          <w:sz w:val="24"/>
          <w:szCs w:val="24"/>
        </w:rPr>
        <w:t>riable therefore is</w:t>
      </w:r>
      <w:r w:rsidRPr="00943D32">
        <w:rPr>
          <w:rFonts w:ascii="Garamond" w:hAnsi="Garamond"/>
          <w:sz w:val="24"/>
          <w:szCs w:val="24"/>
        </w:rPr>
        <w:t xml:space="preserve"> the predicted </w:t>
      </w:r>
      <w:r>
        <w:rPr>
          <w:rFonts w:ascii="Garamond" w:hAnsi="Garamond"/>
          <w:sz w:val="24"/>
          <w:szCs w:val="24"/>
        </w:rPr>
        <w:t xml:space="preserve">male </w:t>
      </w:r>
      <w:r w:rsidRPr="00943D32">
        <w:rPr>
          <w:rFonts w:ascii="Garamond" w:hAnsi="Garamond"/>
          <w:sz w:val="24"/>
          <w:szCs w:val="24"/>
        </w:rPr>
        <w:t>migration to the U.S., defined as</w:t>
      </w:r>
      <w:r w:rsidRPr="00943D32">
        <w:rPr>
          <w:rFonts w:ascii="Garamond" w:hAnsi="Garamond"/>
          <w:position w:val="-14"/>
          <w:sz w:val="24"/>
          <w:szCs w:val="24"/>
        </w:rPr>
        <w:object w:dxaOrig="980" w:dyaOrig="380">
          <v:shape id="_x0000_i1040" type="#_x0000_t75" style="width:48.75pt;height:18.75pt" o:ole="">
            <v:imagedata r:id="rId40" o:title=""/>
          </v:shape>
          <o:OLEObject Type="Embed" ProgID="Equation.3" ShapeID="_x0000_i1040" DrawAspect="Content" ObjectID="_1489935311" r:id="rId41"/>
        </w:object>
      </w:r>
      <w:r w:rsidRPr="00943D32">
        <w:rPr>
          <w:rFonts w:ascii="Garamond" w:hAnsi="Garamond"/>
          <w:sz w:val="24"/>
          <w:szCs w:val="24"/>
        </w:rPr>
        <w:t>.  This is the number</w:t>
      </w:r>
      <w:r>
        <w:rPr>
          <w:rFonts w:ascii="Garamond" w:hAnsi="Garamond"/>
          <w:sz w:val="24"/>
          <w:szCs w:val="24"/>
        </w:rPr>
        <w:t xml:space="preserve"> of men in each age cohort</w:t>
      </w:r>
      <w:r w:rsidRPr="00943D32">
        <w:rPr>
          <w:rFonts w:ascii="Garamond" w:hAnsi="Garamond"/>
          <w:sz w:val="24"/>
          <w:szCs w:val="24"/>
        </w:rPr>
        <w:t xml:space="preserve"> pre</w:t>
      </w:r>
      <w:r>
        <w:rPr>
          <w:rFonts w:ascii="Garamond" w:hAnsi="Garamond"/>
          <w:sz w:val="24"/>
          <w:szCs w:val="24"/>
        </w:rPr>
        <w:t>dicted to be missing in each Mexican</w:t>
      </w:r>
      <w:r w:rsidRPr="00943D32">
        <w:rPr>
          <w:rFonts w:ascii="Garamond" w:hAnsi="Garamond"/>
          <w:sz w:val="24"/>
          <w:szCs w:val="24"/>
        </w:rPr>
        <w:t xml:space="preserve"> st</w:t>
      </w:r>
      <w:r>
        <w:rPr>
          <w:rFonts w:ascii="Garamond" w:hAnsi="Garamond"/>
          <w:sz w:val="24"/>
          <w:szCs w:val="24"/>
        </w:rPr>
        <w:t xml:space="preserve">ate due to demand conditions in the U.S. </w:t>
      </w:r>
      <w:r>
        <w:rPr>
          <w:rFonts w:ascii="Garamond" w:eastAsia="Times New Roman" w:hAnsi="Garamond"/>
          <w:sz w:val="24"/>
          <w:szCs w:val="24"/>
        </w:rPr>
        <w:t xml:space="preserve"> </w:t>
      </w:r>
    </w:p>
    <w:p w:rsidR="002B17F1" w:rsidRDefault="002B17F1" w:rsidP="000551BD">
      <w:pPr>
        <w:spacing w:after="0" w:line="480" w:lineRule="auto"/>
        <w:ind w:firstLine="432"/>
        <w:rPr>
          <w:rFonts w:ascii="Garamond" w:hAnsi="Garamond"/>
          <w:sz w:val="24"/>
          <w:szCs w:val="24"/>
        </w:rPr>
      </w:pPr>
      <w:r>
        <w:rPr>
          <w:rFonts w:ascii="Garamond" w:hAnsi="Garamond"/>
          <w:sz w:val="24"/>
          <w:szCs w:val="24"/>
        </w:rPr>
        <w:lastRenderedPageBreak/>
        <w:t>To calculate both</w:t>
      </w:r>
      <w:r w:rsidRPr="00E908DC">
        <w:rPr>
          <w:rFonts w:ascii="Garamond" w:hAnsi="Garamond"/>
          <w:position w:val="-14"/>
          <w:sz w:val="24"/>
          <w:szCs w:val="24"/>
        </w:rPr>
        <w:object w:dxaOrig="400" w:dyaOrig="380">
          <v:shape id="_x0000_i1041" type="#_x0000_t75" style="width:20.25pt;height:18.75pt" o:ole="">
            <v:imagedata r:id="rId42" o:title=""/>
          </v:shape>
          <o:OLEObject Type="Embed" ProgID="Equation.3" ShapeID="_x0000_i1041" DrawAspect="Content" ObjectID="_1489935312" r:id="rId43"/>
        </w:object>
      </w:r>
      <w:r>
        <w:rPr>
          <w:rFonts w:ascii="Garamond" w:hAnsi="Garamond"/>
          <w:sz w:val="24"/>
          <w:szCs w:val="24"/>
        </w:rPr>
        <w:t xml:space="preserve">and </w:t>
      </w:r>
      <w:r w:rsidR="00DF66B4" w:rsidRPr="005F4B62">
        <w:rPr>
          <w:rFonts w:ascii="Garamond" w:hAnsi="Garamond"/>
          <w:position w:val="-14"/>
          <w:sz w:val="24"/>
          <w:szCs w:val="24"/>
        </w:rPr>
        <w:object w:dxaOrig="340" w:dyaOrig="380">
          <v:shape id="_x0000_i1042" type="#_x0000_t75" style="width:17.25pt;height:18.75pt" o:ole="">
            <v:imagedata r:id="rId44" o:title=""/>
          </v:shape>
          <o:OLEObject Type="Embed" ProgID="Equation.3" ShapeID="_x0000_i1042" DrawAspect="Content" ObjectID="_1489935313" r:id="rId45"/>
        </w:object>
      </w:r>
      <w:r>
        <w:rPr>
          <w:rFonts w:ascii="Garamond" w:hAnsi="Garamond"/>
          <w:sz w:val="24"/>
          <w:szCs w:val="24"/>
        </w:rPr>
        <w:t xml:space="preserve">we use data from 1% micro samples from the U.S. Census and the American Community Survey, as accessed through IPUMS.  For each census year we calculate the total number of Mexican born men in each 8 year cohort living in each U.S. state.    </w:t>
      </w:r>
    </w:p>
    <w:p w:rsidR="000551BD" w:rsidRDefault="002B17F1" w:rsidP="000551BD">
      <w:pPr>
        <w:spacing w:after="0" w:line="480" w:lineRule="auto"/>
        <w:ind w:firstLine="432"/>
        <w:rPr>
          <w:rFonts w:ascii="Garamond" w:hAnsi="Garamond"/>
          <w:sz w:val="24"/>
          <w:szCs w:val="24"/>
        </w:rPr>
      </w:pPr>
      <w:r>
        <w:rPr>
          <w:rFonts w:ascii="Garamond" w:hAnsi="Garamond"/>
          <w:sz w:val="24"/>
          <w:szCs w:val="24"/>
        </w:rPr>
        <w:t xml:space="preserve"> W</w:t>
      </w:r>
      <w:r w:rsidR="00AB2778">
        <w:rPr>
          <w:rFonts w:ascii="Garamond" w:hAnsi="Garamond"/>
          <w:sz w:val="24"/>
          <w:szCs w:val="24"/>
        </w:rPr>
        <w:t xml:space="preserve">e </w:t>
      </w:r>
      <w:r>
        <w:rPr>
          <w:rFonts w:ascii="Garamond" w:hAnsi="Garamond"/>
          <w:sz w:val="24"/>
          <w:szCs w:val="24"/>
        </w:rPr>
        <w:t>next examine if migration patterns differ by age cohort.</w:t>
      </w:r>
      <w:r w:rsidR="00AB2778">
        <w:rPr>
          <w:rFonts w:ascii="Garamond" w:hAnsi="Garamond"/>
          <w:sz w:val="24"/>
          <w:szCs w:val="24"/>
        </w:rPr>
        <w:t xml:space="preserve">  </w:t>
      </w:r>
      <w:r w:rsidR="00211878">
        <w:rPr>
          <w:rFonts w:ascii="Garamond" w:hAnsi="Garamond"/>
          <w:sz w:val="24"/>
          <w:szCs w:val="24"/>
        </w:rPr>
        <w:t>T</w:t>
      </w:r>
      <w:r w:rsidR="00AB2778">
        <w:rPr>
          <w:rFonts w:ascii="Garamond" w:hAnsi="Garamond"/>
          <w:sz w:val="24"/>
          <w:szCs w:val="24"/>
        </w:rPr>
        <w:t>able</w:t>
      </w:r>
      <w:r>
        <w:rPr>
          <w:rFonts w:ascii="Garamond" w:hAnsi="Garamond"/>
          <w:sz w:val="24"/>
          <w:szCs w:val="24"/>
        </w:rPr>
        <w:t xml:space="preserve"> 3</w:t>
      </w:r>
      <w:r w:rsidR="00AB2778">
        <w:rPr>
          <w:rFonts w:ascii="Garamond" w:hAnsi="Garamond"/>
          <w:sz w:val="24"/>
          <w:szCs w:val="24"/>
        </w:rPr>
        <w:t xml:space="preserve"> presents</w:t>
      </w:r>
      <w:r>
        <w:rPr>
          <w:rFonts w:ascii="Garamond" w:hAnsi="Garamond"/>
          <w:sz w:val="24"/>
          <w:szCs w:val="24"/>
        </w:rPr>
        <w:t xml:space="preserve"> </w:t>
      </w:r>
      <w:r w:rsidR="00DF66B4" w:rsidRPr="005F4B62">
        <w:rPr>
          <w:rFonts w:ascii="Garamond" w:hAnsi="Garamond"/>
          <w:position w:val="-14"/>
          <w:sz w:val="24"/>
          <w:szCs w:val="24"/>
        </w:rPr>
        <w:object w:dxaOrig="340" w:dyaOrig="380">
          <v:shape id="_x0000_i1043" type="#_x0000_t75" style="width:17.25pt;height:18.75pt" o:ole="">
            <v:imagedata r:id="rId46" o:title=""/>
          </v:shape>
          <o:OLEObject Type="Embed" ProgID="Equation.3" ShapeID="_x0000_i1043" DrawAspect="Content" ObjectID="_1489935314" r:id="rId47"/>
        </w:object>
      </w:r>
      <w:r w:rsidR="00AB2778">
        <w:rPr>
          <w:rFonts w:ascii="Garamond" w:hAnsi="Garamond"/>
          <w:sz w:val="24"/>
          <w:szCs w:val="24"/>
        </w:rPr>
        <w:t>values for</w:t>
      </w:r>
      <w:r>
        <w:rPr>
          <w:rFonts w:ascii="Garamond" w:hAnsi="Garamond"/>
          <w:sz w:val="24"/>
          <w:szCs w:val="24"/>
        </w:rPr>
        <w:t xml:space="preserve"> the year 2000 for</w:t>
      </w:r>
      <w:r w:rsidR="00AB2778">
        <w:rPr>
          <w:rFonts w:ascii="Garamond" w:hAnsi="Garamond"/>
          <w:sz w:val="24"/>
          <w:szCs w:val="24"/>
        </w:rPr>
        <w:t xml:space="preserve"> the </w:t>
      </w:r>
      <w:r>
        <w:rPr>
          <w:rFonts w:ascii="Garamond" w:hAnsi="Garamond"/>
          <w:sz w:val="24"/>
          <w:szCs w:val="24"/>
        </w:rPr>
        <w:t xml:space="preserve">12 </w:t>
      </w:r>
      <w:r w:rsidR="00AB2778">
        <w:rPr>
          <w:rFonts w:ascii="Garamond" w:hAnsi="Garamond"/>
          <w:sz w:val="24"/>
          <w:szCs w:val="24"/>
        </w:rPr>
        <w:t>largest receiving U.S. states</w:t>
      </w:r>
      <w:r w:rsidR="00C65556">
        <w:rPr>
          <w:rFonts w:ascii="Garamond" w:hAnsi="Garamond"/>
          <w:sz w:val="24"/>
          <w:szCs w:val="24"/>
        </w:rPr>
        <w:t>.</w:t>
      </w:r>
      <w:r w:rsidR="00C65556">
        <w:rPr>
          <w:rStyle w:val="FootnoteReference"/>
          <w:rFonts w:ascii="Garamond" w:hAnsi="Garamond"/>
          <w:sz w:val="24"/>
          <w:szCs w:val="24"/>
        </w:rPr>
        <w:footnoteReference w:id="13"/>
      </w:r>
      <w:r w:rsidR="00C65556">
        <w:rPr>
          <w:rFonts w:ascii="Garamond" w:hAnsi="Garamond"/>
          <w:sz w:val="24"/>
          <w:szCs w:val="24"/>
        </w:rPr>
        <w:t xml:space="preserve"> </w:t>
      </w:r>
      <w:r>
        <w:rPr>
          <w:rFonts w:ascii="Garamond" w:hAnsi="Garamond"/>
          <w:sz w:val="24"/>
          <w:szCs w:val="24"/>
        </w:rPr>
        <w:t xml:space="preserve">  The table</w:t>
      </w:r>
      <w:r w:rsidR="00AB2778">
        <w:rPr>
          <w:rFonts w:ascii="Garamond" w:hAnsi="Garamond"/>
          <w:sz w:val="24"/>
          <w:szCs w:val="24"/>
        </w:rPr>
        <w:t xml:space="preserve"> clearly shows </w:t>
      </w:r>
      <w:r w:rsidR="00211878">
        <w:rPr>
          <w:rFonts w:ascii="Garamond" w:hAnsi="Garamond"/>
          <w:sz w:val="24"/>
          <w:szCs w:val="24"/>
        </w:rPr>
        <w:t xml:space="preserve">that </w:t>
      </w:r>
      <w:r w:rsidR="00AB2778">
        <w:rPr>
          <w:rFonts w:ascii="Garamond" w:hAnsi="Garamond"/>
          <w:sz w:val="24"/>
          <w:szCs w:val="24"/>
        </w:rPr>
        <w:t>variation</w:t>
      </w:r>
      <w:r w:rsidR="00211878">
        <w:rPr>
          <w:rFonts w:ascii="Garamond" w:hAnsi="Garamond"/>
          <w:sz w:val="24"/>
          <w:szCs w:val="24"/>
        </w:rPr>
        <w:t xml:space="preserve"> exists</w:t>
      </w:r>
      <w:r w:rsidR="00AB2778">
        <w:rPr>
          <w:rFonts w:ascii="Garamond" w:hAnsi="Garamond"/>
          <w:sz w:val="24"/>
          <w:szCs w:val="24"/>
        </w:rPr>
        <w:t xml:space="preserve"> in the distribution of Mexican men acr</w:t>
      </w:r>
      <w:r w:rsidR="00211878">
        <w:rPr>
          <w:rFonts w:ascii="Garamond" w:hAnsi="Garamond"/>
          <w:sz w:val="24"/>
          <w:szCs w:val="24"/>
        </w:rPr>
        <w:t xml:space="preserve">oss age cohorts.  For these </w:t>
      </w:r>
      <w:r w:rsidR="00AB2778">
        <w:rPr>
          <w:rFonts w:ascii="Garamond" w:hAnsi="Garamond"/>
          <w:sz w:val="24"/>
          <w:szCs w:val="24"/>
        </w:rPr>
        <w:t xml:space="preserve">states the percentage of the Mexican male population that is made up of 18-33 year olds ranges from 62% (North Carolina) to 32% (New Mexico).  Meanwhile the percentage of this population that is made up of 34-57 year olds ranges from 38% (Texas) to 22% (North Carolina).  Thus the number of younger and older cohorts that leave different Mexican states should vary depending upon their </w:t>
      </w:r>
      <w:r w:rsidR="00673D4C">
        <w:rPr>
          <w:rFonts w:ascii="Garamond" w:hAnsi="Garamond"/>
          <w:sz w:val="24"/>
          <w:szCs w:val="24"/>
        </w:rPr>
        <w:t xml:space="preserve">receiving state in the U.S.  </w:t>
      </w:r>
      <w:r w:rsidR="00941EF9">
        <w:rPr>
          <w:rFonts w:ascii="Garamond" w:hAnsi="Garamond"/>
          <w:sz w:val="24"/>
          <w:szCs w:val="24"/>
        </w:rPr>
        <w:t xml:space="preserve"> </w:t>
      </w:r>
      <w:r w:rsidR="00B36DF4">
        <w:rPr>
          <w:rFonts w:ascii="Garamond" w:hAnsi="Garamond"/>
          <w:sz w:val="24"/>
          <w:szCs w:val="24"/>
        </w:rPr>
        <w:t xml:space="preserve">    </w:t>
      </w:r>
      <w:r w:rsidR="000551BD">
        <w:rPr>
          <w:rFonts w:ascii="Garamond" w:hAnsi="Garamond"/>
          <w:sz w:val="24"/>
          <w:szCs w:val="24"/>
        </w:rPr>
        <w:t xml:space="preserve">  </w:t>
      </w:r>
    </w:p>
    <w:p w:rsidR="0035793C" w:rsidRDefault="0015245B" w:rsidP="0035793C">
      <w:pPr>
        <w:spacing w:after="0" w:line="480" w:lineRule="auto"/>
        <w:ind w:firstLine="432"/>
        <w:rPr>
          <w:rFonts w:ascii="Garamond" w:hAnsi="Garamond"/>
          <w:sz w:val="24"/>
          <w:szCs w:val="24"/>
        </w:rPr>
      </w:pPr>
      <w:r>
        <w:rPr>
          <w:rFonts w:ascii="Garamond" w:hAnsi="Garamond"/>
          <w:sz w:val="24"/>
          <w:szCs w:val="24"/>
        </w:rPr>
        <w:t xml:space="preserve">To calculate </w:t>
      </w:r>
      <w:r w:rsidRPr="0015245B">
        <w:rPr>
          <w:rFonts w:ascii="Garamond" w:hAnsi="Garamond"/>
          <w:position w:val="-14"/>
          <w:sz w:val="24"/>
          <w:szCs w:val="24"/>
        </w:rPr>
        <w:object w:dxaOrig="360" w:dyaOrig="380">
          <v:shape id="_x0000_i1044" type="#_x0000_t75" style="width:18pt;height:18.75pt" o:ole="">
            <v:imagedata r:id="rId48" o:title=""/>
          </v:shape>
          <o:OLEObject Type="Embed" ProgID="Equation.3" ShapeID="_x0000_i1044" DrawAspect="Content" ObjectID="_1489935315" r:id="rId49"/>
        </w:object>
      </w:r>
      <w:r>
        <w:rPr>
          <w:rFonts w:ascii="Garamond" w:hAnsi="Garamond"/>
          <w:sz w:val="24"/>
          <w:szCs w:val="24"/>
        </w:rPr>
        <w:t>we i</w:t>
      </w:r>
      <w:r w:rsidR="00D706BD">
        <w:rPr>
          <w:rFonts w:ascii="Garamond" w:hAnsi="Garamond"/>
          <w:sz w:val="24"/>
          <w:szCs w:val="24"/>
        </w:rPr>
        <w:t xml:space="preserve">deally </w:t>
      </w:r>
      <w:r w:rsidR="003E06BA">
        <w:rPr>
          <w:rFonts w:ascii="Garamond" w:hAnsi="Garamond"/>
          <w:sz w:val="24"/>
          <w:szCs w:val="24"/>
        </w:rPr>
        <w:t>would have historical migration patterns</w:t>
      </w:r>
      <w:r w:rsidR="00D706BD">
        <w:rPr>
          <w:rFonts w:ascii="Garamond" w:hAnsi="Garamond"/>
          <w:sz w:val="24"/>
          <w:szCs w:val="24"/>
        </w:rPr>
        <w:t xml:space="preserve"> from a year prior to any of our census periods.  However, information that is representative at both the state level in Mexico and the U.S. is</w:t>
      </w:r>
      <w:r w:rsidR="00B047DC">
        <w:rPr>
          <w:rFonts w:ascii="Garamond" w:hAnsi="Garamond"/>
          <w:sz w:val="24"/>
          <w:szCs w:val="24"/>
        </w:rPr>
        <w:t xml:space="preserve"> both</w:t>
      </w:r>
      <w:r w:rsidR="00D706BD">
        <w:rPr>
          <w:rFonts w:ascii="Garamond" w:hAnsi="Garamond"/>
          <w:sz w:val="24"/>
          <w:szCs w:val="24"/>
        </w:rPr>
        <w:t xml:space="preserve"> scarce and recent.  We therefore rely on data from</w:t>
      </w:r>
      <w:r w:rsidR="00D747F4">
        <w:rPr>
          <w:rFonts w:ascii="Garamond" w:hAnsi="Garamond"/>
          <w:sz w:val="24"/>
          <w:szCs w:val="24"/>
        </w:rPr>
        <w:t xml:space="preserve"> </w:t>
      </w:r>
      <w:r w:rsidR="0068545D">
        <w:rPr>
          <w:rFonts w:ascii="Garamond" w:hAnsi="Garamond"/>
          <w:sz w:val="24"/>
          <w:szCs w:val="24"/>
        </w:rPr>
        <w:t xml:space="preserve">more </w:t>
      </w:r>
      <w:r w:rsidR="00D747F4">
        <w:rPr>
          <w:rFonts w:ascii="Garamond" w:hAnsi="Garamond"/>
          <w:sz w:val="24"/>
          <w:szCs w:val="24"/>
        </w:rPr>
        <w:t>recent years</w:t>
      </w:r>
      <w:r w:rsidR="00D706BD">
        <w:rPr>
          <w:rFonts w:ascii="Garamond" w:hAnsi="Garamond"/>
          <w:sz w:val="24"/>
          <w:szCs w:val="24"/>
        </w:rPr>
        <w:t xml:space="preserve"> to assign Mexican men in the U.S. to specific states in Mexico. </w:t>
      </w:r>
      <w:r w:rsidR="00B047DC">
        <w:rPr>
          <w:rFonts w:ascii="Garamond" w:hAnsi="Garamond"/>
          <w:sz w:val="24"/>
          <w:szCs w:val="24"/>
        </w:rPr>
        <w:t xml:space="preserve"> The data we use come from three different sources, with the years varying slightly across each source.  We thus construct three sets of weights </w:t>
      </w:r>
      <w:r w:rsidR="00314C26" w:rsidRPr="0015245B">
        <w:rPr>
          <w:rFonts w:ascii="Garamond" w:hAnsi="Garamond"/>
          <w:position w:val="-14"/>
          <w:sz w:val="24"/>
          <w:szCs w:val="24"/>
        </w:rPr>
        <w:object w:dxaOrig="360" w:dyaOrig="380">
          <v:shape id="_x0000_i1045" type="#_x0000_t75" style="width:18pt;height:18.75pt" o:ole="">
            <v:imagedata r:id="rId48" o:title=""/>
          </v:shape>
          <o:OLEObject Type="Embed" ProgID="Equation.3" ShapeID="_x0000_i1045" DrawAspect="Content" ObjectID="_1489935316" r:id="rId50"/>
        </w:object>
      </w:r>
      <w:r w:rsidR="00B047DC">
        <w:rPr>
          <w:rFonts w:ascii="Garamond" w:hAnsi="Garamond"/>
          <w:sz w:val="24"/>
          <w:szCs w:val="24"/>
        </w:rPr>
        <w:t xml:space="preserve">and compare the results to test the </w:t>
      </w:r>
      <w:r w:rsidR="00ED2438">
        <w:rPr>
          <w:rFonts w:ascii="Garamond" w:hAnsi="Garamond"/>
          <w:sz w:val="24"/>
          <w:szCs w:val="24"/>
        </w:rPr>
        <w:t xml:space="preserve">assumption that </w:t>
      </w:r>
      <w:proofErr w:type="spellStart"/>
      <w:proofErr w:type="gramStart"/>
      <w:r w:rsidR="00ED2438">
        <w:rPr>
          <w:rFonts w:ascii="Garamond" w:hAnsi="Garamond"/>
          <w:sz w:val="24"/>
          <w:szCs w:val="24"/>
        </w:rPr>
        <w:t>the</w:t>
      </w:r>
      <w:proofErr w:type="spellEnd"/>
      <w:r w:rsidR="00ED2438">
        <w:rPr>
          <w:rFonts w:ascii="Garamond" w:hAnsi="Garamond"/>
          <w:sz w:val="24"/>
          <w:szCs w:val="24"/>
        </w:rPr>
        <w:t xml:space="preserve"> </w:t>
      </w:r>
      <w:r w:rsidR="00ED2438" w:rsidRPr="0015245B">
        <w:rPr>
          <w:rFonts w:ascii="Garamond" w:hAnsi="Garamond"/>
          <w:position w:val="-14"/>
          <w:sz w:val="24"/>
          <w:szCs w:val="24"/>
        </w:rPr>
        <w:object w:dxaOrig="360" w:dyaOrig="380">
          <v:shape id="_x0000_i1046" type="#_x0000_t75" style="width:18pt;height:18.75pt" o:ole="">
            <v:imagedata r:id="rId48" o:title=""/>
          </v:shape>
          <o:OLEObject Type="Embed" ProgID="Equation.3" ShapeID="_x0000_i1046" DrawAspect="Content" ObjectID="_1489935317" r:id="rId51"/>
        </w:object>
      </w:r>
      <w:r w:rsidR="00B047DC">
        <w:rPr>
          <w:rFonts w:ascii="Garamond" w:hAnsi="Garamond"/>
          <w:sz w:val="24"/>
          <w:szCs w:val="24"/>
        </w:rPr>
        <w:t>are</w:t>
      </w:r>
      <w:proofErr w:type="gramEnd"/>
      <w:r w:rsidR="00B047DC">
        <w:rPr>
          <w:rFonts w:ascii="Garamond" w:hAnsi="Garamond"/>
          <w:sz w:val="24"/>
          <w:szCs w:val="24"/>
        </w:rPr>
        <w:t xml:space="preserve"> driven by historic trends rather than current supply shocks.  </w:t>
      </w:r>
      <w:r w:rsidR="00ED2438">
        <w:rPr>
          <w:rFonts w:ascii="Garamond" w:hAnsi="Garamond"/>
          <w:sz w:val="24"/>
          <w:szCs w:val="24"/>
        </w:rPr>
        <w:t xml:space="preserve">Next, we describe </w:t>
      </w:r>
      <w:r w:rsidR="00B047DC">
        <w:rPr>
          <w:rFonts w:ascii="Garamond" w:hAnsi="Garamond"/>
          <w:sz w:val="24"/>
          <w:szCs w:val="24"/>
        </w:rPr>
        <w:t xml:space="preserve">each data source.   </w:t>
      </w:r>
      <w:r w:rsidR="00673D4C">
        <w:rPr>
          <w:rFonts w:ascii="Garamond" w:hAnsi="Garamond"/>
          <w:sz w:val="24"/>
          <w:szCs w:val="24"/>
        </w:rPr>
        <w:t xml:space="preserve"> </w:t>
      </w:r>
    </w:p>
    <w:p w:rsidR="00673D4C" w:rsidRPr="00211878" w:rsidRDefault="00673D4C" w:rsidP="009D40C2">
      <w:pPr>
        <w:spacing w:after="0" w:line="480" w:lineRule="auto"/>
        <w:ind w:firstLine="432"/>
        <w:rPr>
          <w:rFonts w:ascii="Garamond" w:hAnsi="Garamond"/>
          <w:sz w:val="24"/>
          <w:szCs w:val="24"/>
        </w:rPr>
      </w:pPr>
      <w:r w:rsidRPr="00211878">
        <w:rPr>
          <w:rFonts w:ascii="Garamond" w:hAnsi="Garamond"/>
          <w:sz w:val="24"/>
          <w:szCs w:val="24"/>
        </w:rPr>
        <w:t>The first data source</w:t>
      </w:r>
      <w:r w:rsidR="00B047DC" w:rsidRPr="00211878">
        <w:rPr>
          <w:rFonts w:ascii="Garamond" w:hAnsi="Garamond"/>
          <w:sz w:val="24"/>
          <w:szCs w:val="24"/>
        </w:rPr>
        <w:t xml:space="preserve"> we use</w:t>
      </w:r>
      <w:r w:rsidR="002B17F1" w:rsidRPr="00211878">
        <w:rPr>
          <w:rFonts w:ascii="Garamond" w:hAnsi="Garamond"/>
          <w:sz w:val="24"/>
          <w:szCs w:val="24"/>
        </w:rPr>
        <w:t xml:space="preserve"> is the</w:t>
      </w:r>
      <w:r w:rsidR="00943D32">
        <w:rPr>
          <w:rFonts w:ascii="Garamond" w:eastAsia="Times New Roman" w:hAnsi="Garamond"/>
          <w:sz w:val="24"/>
          <w:szCs w:val="24"/>
        </w:rPr>
        <w:t xml:space="preserve"> EMIF Norte Survey (</w:t>
      </w:r>
      <w:proofErr w:type="spellStart"/>
      <w:r w:rsidR="0035793C" w:rsidRPr="00ED2438">
        <w:rPr>
          <w:rFonts w:ascii="Garamond" w:eastAsia="Times New Roman" w:hAnsi="Garamond"/>
          <w:i/>
          <w:sz w:val="24"/>
          <w:szCs w:val="24"/>
        </w:rPr>
        <w:t>Encuestas</w:t>
      </w:r>
      <w:proofErr w:type="spellEnd"/>
      <w:r w:rsidR="0035793C" w:rsidRPr="00ED2438">
        <w:rPr>
          <w:rFonts w:ascii="Garamond" w:eastAsia="Times New Roman" w:hAnsi="Garamond"/>
          <w:i/>
          <w:sz w:val="24"/>
          <w:szCs w:val="24"/>
        </w:rPr>
        <w:t xml:space="preserve"> </w:t>
      </w:r>
      <w:proofErr w:type="spellStart"/>
      <w:r w:rsidR="0035793C" w:rsidRPr="00ED2438">
        <w:rPr>
          <w:rFonts w:ascii="Garamond" w:eastAsia="Times New Roman" w:hAnsi="Garamond"/>
          <w:i/>
          <w:sz w:val="24"/>
          <w:szCs w:val="24"/>
        </w:rPr>
        <w:t>sobre</w:t>
      </w:r>
      <w:proofErr w:type="spellEnd"/>
      <w:r w:rsidR="0035793C" w:rsidRPr="00ED2438">
        <w:rPr>
          <w:rFonts w:ascii="Garamond" w:eastAsia="Times New Roman" w:hAnsi="Garamond"/>
          <w:i/>
          <w:sz w:val="24"/>
          <w:szCs w:val="24"/>
        </w:rPr>
        <w:t xml:space="preserve"> </w:t>
      </w:r>
      <w:proofErr w:type="spellStart"/>
      <w:r w:rsidR="0035793C" w:rsidRPr="00ED2438">
        <w:rPr>
          <w:rFonts w:ascii="Garamond" w:eastAsia="Times New Roman" w:hAnsi="Garamond"/>
          <w:i/>
          <w:sz w:val="24"/>
          <w:szCs w:val="24"/>
        </w:rPr>
        <w:t>Migracion</w:t>
      </w:r>
      <w:proofErr w:type="spellEnd"/>
      <w:r w:rsidR="0035793C" w:rsidRPr="00ED2438">
        <w:rPr>
          <w:rFonts w:ascii="Garamond" w:eastAsia="Times New Roman" w:hAnsi="Garamond"/>
          <w:i/>
          <w:sz w:val="24"/>
          <w:szCs w:val="24"/>
        </w:rPr>
        <w:t xml:space="preserve"> en las </w:t>
      </w:r>
      <w:proofErr w:type="spellStart"/>
      <w:r w:rsidR="0035793C" w:rsidRPr="00ED2438">
        <w:rPr>
          <w:rFonts w:ascii="Garamond" w:eastAsia="Times New Roman" w:hAnsi="Garamond"/>
          <w:i/>
          <w:sz w:val="24"/>
          <w:szCs w:val="24"/>
        </w:rPr>
        <w:t>Fronteras</w:t>
      </w:r>
      <w:proofErr w:type="spellEnd"/>
      <w:r w:rsidR="0035793C" w:rsidRPr="00ED2438">
        <w:rPr>
          <w:rFonts w:ascii="Garamond" w:eastAsia="Times New Roman" w:hAnsi="Garamond"/>
          <w:i/>
          <w:sz w:val="24"/>
          <w:szCs w:val="24"/>
        </w:rPr>
        <w:t xml:space="preserve"> Norte y Sur de Mexico</w:t>
      </w:r>
      <w:r w:rsidR="002B17F1" w:rsidRPr="00211878">
        <w:rPr>
          <w:rFonts w:ascii="Garamond" w:eastAsia="Times New Roman" w:hAnsi="Garamond"/>
          <w:sz w:val="24"/>
          <w:szCs w:val="24"/>
        </w:rPr>
        <w:t>, or Surveys on Migration to the Northern and Southern borders of Mexico</w:t>
      </w:r>
      <w:r w:rsidR="0035793C" w:rsidRPr="00211878">
        <w:rPr>
          <w:rFonts w:ascii="Garamond" w:eastAsia="Times New Roman" w:hAnsi="Garamond"/>
          <w:sz w:val="24"/>
          <w:szCs w:val="24"/>
        </w:rPr>
        <w:t>)</w:t>
      </w:r>
      <w:r w:rsidR="0035793C" w:rsidRPr="00211878">
        <w:rPr>
          <w:rStyle w:val="FootnoteReference"/>
          <w:rFonts w:ascii="Garamond" w:eastAsia="Times New Roman" w:hAnsi="Garamond"/>
          <w:sz w:val="24"/>
          <w:szCs w:val="24"/>
        </w:rPr>
        <w:footnoteReference w:id="14"/>
      </w:r>
      <w:r w:rsidR="00975658">
        <w:rPr>
          <w:rFonts w:ascii="Garamond" w:eastAsia="Times New Roman" w:hAnsi="Garamond"/>
          <w:sz w:val="24"/>
          <w:szCs w:val="24"/>
        </w:rPr>
        <w:t xml:space="preserve"> </w:t>
      </w:r>
      <w:r w:rsidR="00975658">
        <w:rPr>
          <w:rStyle w:val="FootnoteReference"/>
          <w:rFonts w:ascii="Garamond" w:eastAsia="Times New Roman" w:hAnsi="Garamond"/>
          <w:sz w:val="24"/>
          <w:szCs w:val="24"/>
        </w:rPr>
        <w:footnoteReference w:id="15"/>
      </w:r>
      <w:r w:rsidR="0035793C" w:rsidRPr="00211878">
        <w:rPr>
          <w:rFonts w:ascii="Garamond" w:eastAsia="Times New Roman" w:hAnsi="Garamond"/>
          <w:sz w:val="24"/>
          <w:szCs w:val="24"/>
        </w:rPr>
        <w:t xml:space="preserve">. </w:t>
      </w:r>
      <w:r w:rsidR="0035793C" w:rsidRPr="00211878">
        <w:rPr>
          <w:rFonts w:ascii="Garamond" w:eastAsia="Times New Roman" w:hAnsi="Garamond"/>
          <w:sz w:val="24"/>
          <w:szCs w:val="24"/>
        </w:rPr>
        <w:lastRenderedPageBreak/>
        <w:t>Using a probabilistic sampling methodology for mobile populations, this dataset collects information on migrants, 15 years old and older, coming from Mexico and in transit to the US. Most migrants crossing to the US travel through one of 23 locations. Migrants are interviewed in locations in the northern Mexican border and at airports during 12 months of the year.  Since the majority of migrants are male and we are interested in changes in the sex ratio, we use migration patterns for men. In the survey, migrants are asked their state of birth in Mexico, and the US state to which they plan to travel.  We use this information to calculate a matrix of migration flows from a particular Mexican state to a particular US state. The data are</w:t>
      </w:r>
      <w:r w:rsidR="0015245B">
        <w:rPr>
          <w:rFonts w:ascii="Garamond" w:eastAsia="Times New Roman" w:hAnsi="Garamond"/>
          <w:sz w:val="24"/>
          <w:szCs w:val="24"/>
        </w:rPr>
        <w:t xml:space="preserve"> first</w:t>
      </w:r>
      <w:r w:rsidR="0035793C" w:rsidRPr="00211878">
        <w:rPr>
          <w:rFonts w:ascii="Garamond" w:eastAsia="Times New Roman" w:hAnsi="Garamond"/>
          <w:sz w:val="24"/>
          <w:szCs w:val="24"/>
        </w:rPr>
        <w:t xml:space="preserve"> collected in </w:t>
      </w:r>
      <w:r w:rsidR="0015245B">
        <w:rPr>
          <w:rFonts w:ascii="Garamond" w:eastAsia="Times New Roman" w:hAnsi="Garamond"/>
          <w:sz w:val="24"/>
          <w:szCs w:val="24"/>
        </w:rPr>
        <w:t>1995</w:t>
      </w:r>
      <w:r w:rsidR="0035793C" w:rsidRPr="00211878">
        <w:rPr>
          <w:rFonts w:ascii="Garamond" w:eastAsia="Times New Roman" w:hAnsi="Garamond"/>
          <w:sz w:val="24"/>
          <w:szCs w:val="24"/>
        </w:rPr>
        <w:t xml:space="preserve"> and</w:t>
      </w:r>
      <w:r w:rsidR="0015245B">
        <w:rPr>
          <w:rFonts w:ascii="Garamond" w:eastAsia="Times New Roman" w:hAnsi="Garamond"/>
          <w:sz w:val="24"/>
          <w:szCs w:val="24"/>
        </w:rPr>
        <w:t xml:space="preserve"> to abstract from the idiosyncrasies of any given year</w:t>
      </w:r>
      <w:r w:rsidR="0035793C" w:rsidRPr="00211878">
        <w:rPr>
          <w:rFonts w:ascii="Garamond" w:eastAsia="Times New Roman" w:hAnsi="Garamond"/>
          <w:sz w:val="24"/>
          <w:szCs w:val="24"/>
        </w:rPr>
        <w:t xml:space="preserve"> we use an aggregate collected in several rounds starting</w:t>
      </w:r>
      <w:r w:rsidR="00943D32">
        <w:rPr>
          <w:rFonts w:ascii="Garamond" w:eastAsia="Times New Roman" w:hAnsi="Garamond"/>
          <w:sz w:val="24"/>
          <w:szCs w:val="24"/>
        </w:rPr>
        <w:t xml:space="preserve"> in 1995 through 2011.</w:t>
      </w:r>
      <w:r w:rsidR="00943D32">
        <w:rPr>
          <w:rStyle w:val="FootnoteReference"/>
          <w:rFonts w:ascii="Garamond" w:eastAsia="Times New Roman" w:hAnsi="Garamond"/>
          <w:sz w:val="24"/>
          <w:szCs w:val="24"/>
        </w:rPr>
        <w:footnoteReference w:id="16"/>
      </w:r>
      <w:r w:rsidR="00943D32">
        <w:rPr>
          <w:rFonts w:ascii="Garamond" w:eastAsia="Times New Roman" w:hAnsi="Garamond"/>
          <w:sz w:val="24"/>
          <w:szCs w:val="24"/>
        </w:rPr>
        <w:t xml:space="preserve"> </w:t>
      </w:r>
      <w:r w:rsidR="0035793C" w:rsidRPr="00211878">
        <w:rPr>
          <w:rFonts w:ascii="Garamond" w:eastAsia="Times New Roman" w:hAnsi="Garamond"/>
          <w:sz w:val="24"/>
          <w:szCs w:val="24"/>
        </w:rPr>
        <w:t xml:space="preserve"> There are 2,415,855 observations </w:t>
      </w:r>
      <w:r w:rsidR="0015245B">
        <w:rPr>
          <w:rFonts w:ascii="Garamond" w:eastAsia="Times New Roman" w:hAnsi="Garamond"/>
          <w:sz w:val="24"/>
          <w:szCs w:val="24"/>
        </w:rPr>
        <w:t>in</w:t>
      </w:r>
      <w:r w:rsidR="0035793C" w:rsidRPr="00211878">
        <w:rPr>
          <w:rFonts w:ascii="Garamond" w:eastAsia="Times New Roman" w:hAnsi="Garamond"/>
          <w:sz w:val="24"/>
          <w:szCs w:val="24"/>
        </w:rPr>
        <w:t xml:space="preserve"> the aggregated dataset. </w:t>
      </w:r>
      <w:r w:rsidR="006D414E" w:rsidRPr="00211878">
        <w:rPr>
          <w:rFonts w:ascii="Garamond" w:hAnsi="Garamond"/>
          <w:sz w:val="24"/>
          <w:szCs w:val="24"/>
        </w:rPr>
        <w:t xml:space="preserve"> </w:t>
      </w:r>
    </w:p>
    <w:p w:rsidR="00D706BD" w:rsidRDefault="00673D4C" w:rsidP="00673D4C">
      <w:pPr>
        <w:spacing w:after="0" w:line="480" w:lineRule="auto"/>
        <w:ind w:firstLine="432"/>
        <w:rPr>
          <w:rFonts w:ascii="Garamond" w:hAnsi="Garamond"/>
          <w:sz w:val="24"/>
          <w:szCs w:val="24"/>
        </w:rPr>
      </w:pPr>
      <w:r>
        <w:rPr>
          <w:rFonts w:ascii="Garamond" w:hAnsi="Garamond"/>
          <w:sz w:val="24"/>
          <w:szCs w:val="24"/>
        </w:rPr>
        <w:t>The second data source is a module</w:t>
      </w:r>
      <w:r w:rsidR="00D747F4">
        <w:rPr>
          <w:rFonts w:ascii="Garamond" w:hAnsi="Garamond"/>
          <w:sz w:val="24"/>
          <w:szCs w:val="24"/>
        </w:rPr>
        <w:t xml:space="preserve"> on international migration</w:t>
      </w:r>
      <w:r>
        <w:rPr>
          <w:rFonts w:ascii="Garamond" w:hAnsi="Garamond"/>
          <w:sz w:val="24"/>
          <w:szCs w:val="24"/>
        </w:rPr>
        <w:t xml:space="preserve"> included in the 2002 National Survey of Employment</w:t>
      </w:r>
      <w:r w:rsidR="00601E83">
        <w:rPr>
          <w:rFonts w:ascii="Garamond" w:hAnsi="Garamond"/>
          <w:sz w:val="24"/>
          <w:szCs w:val="24"/>
        </w:rPr>
        <w:t xml:space="preserve"> (ENE)</w:t>
      </w:r>
      <w:r w:rsidR="00D747F4">
        <w:rPr>
          <w:rFonts w:ascii="Garamond" w:hAnsi="Garamond"/>
          <w:sz w:val="24"/>
          <w:szCs w:val="24"/>
        </w:rPr>
        <w:t>, conducted by the National Institute of Statistics and Geography (INEGI)</w:t>
      </w:r>
      <w:r>
        <w:rPr>
          <w:rFonts w:ascii="Garamond" w:hAnsi="Garamond"/>
          <w:sz w:val="24"/>
          <w:szCs w:val="24"/>
        </w:rPr>
        <w:t xml:space="preserve">.  This survey is representative at the state level in Mexico and asks households about members who have migrated abroad in the past five years.  Members are asked the state in Mexico where the migrant lived before leaving and the specific state in the U.S. where they arrived.  The survey therefore captures migration flows over the 1997 to 2002 period.   </w:t>
      </w:r>
    </w:p>
    <w:p w:rsidR="003E06BA" w:rsidRDefault="00673D4C" w:rsidP="003F563E">
      <w:pPr>
        <w:spacing w:after="0" w:line="480" w:lineRule="auto"/>
        <w:ind w:firstLine="432"/>
        <w:rPr>
          <w:rFonts w:ascii="Garamond" w:hAnsi="Garamond"/>
          <w:sz w:val="24"/>
          <w:szCs w:val="24"/>
        </w:rPr>
      </w:pPr>
      <w:r>
        <w:rPr>
          <w:rFonts w:ascii="Garamond" w:hAnsi="Garamond"/>
          <w:sz w:val="24"/>
          <w:szCs w:val="24"/>
        </w:rPr>
        <w:t>The third data source comes from</w:t>
      </w:r>
      <w:r w:rsidR="00C15118">
        <w:rPr>
          <w:rFonts w:ascii="Garamond" w:hAnsi="Garamond"/>
          <w:sz w:val="24"/>
          <w:szCs w:val="24"/>
        </w:rPr>
        <w:t xml:space="preserve"> recently released</w:t>
      </w:r>
      <w:r>
        <w:rPr>
          <w:rFonts w:ascii="Garamond" w:hAnsi="Garamond"/>
          <w:sz w:val="24"/>
          <w:szCs w:val="24"/>
        </w:rPr>
        <w:t xml:space="preserve"> information from</w:t>
      </w:r>
      <w:r w:rsidR="00D747F4">
        <w:rPr>
          <w:rFonts w:ascii="Garamond" w:hAnsi="Garamond"/>
          <w:sz w:val="24"/>
          <w:szCs w:val="24"/>
        </w:rPr>
        <w:t xml:space="preserve"> Mexican</w:t>
      </w:r>
      <w:r>
        <w:rPr>
          <w:rFonts w:ascii="Garamond" w:hAnsi="Garamond"/>
          <w:sz w:val="24"/>
          <w:szCs w:val="24"/>
        </w:rPr>
        <w:t xml:space="preserve"> consulates in the United States on </w:t>
      </w:r>
      <w:r w:rsidR="00C15118">
        <w:rPr>
          <w:rFonts w:ascii="Garamond" w:hAnsi="Garamond"/>
          <w:sz w:val="24"/>
          <w:szCs w:val="24"/>
        </w:rPr>
        <w:t>the issuance of identification</w:t>
      </w:r>
      <w:r>
        <w:rPr>
          <w:rFonts w:ascii="Garamond" w:hAnsi="Garamond"/>
          <w:sz w:val="24"/>
          <w:szCs w:val="24"/>
        </w:rPr>
        <w:t xml:space="preserve"> cards, known as </w:t>
      </w:r>
      <w:proofErr w:type="spellStart"/>
      <w:r w:rsidR="004F523D" w:rsidRPr="004F523D">
        <w:rPr>
          <w:rFonts w:ascii="Garamond" w:hAnsi="Garamond"/>
          <w:i/>
          <w:sz w:val="24"/>
          <w:szCs w:val="24"/>
        </w:rPr>
        <w:t>matr</w:t>
      </w:r>
      <w:r w:rsidR="004F523D">
        <w:rPr>
          <w:rFonts w:ascii="Garamond" w:hAnsi="Garamond"/>
          <w:i/>
          <w:sz w:val="24"/>
          <w:szCs w:val="24"/>
        </w:rPr>
        <w:t>í</w:t>
      </w:r>
      <w:r w:rsidR="004F523D" w:rsidRPr="004F523D">
        <w:rPr>
          <w:rFonts w:ascii="Garamond" w:hAnsi="Garamond"/>
          <w:i/>
          <w:sz w:val="24"/>
          <w:szCs w:val="24"/>
        </w:rPr>
        <w:t>cula</w:t>
      </w:r>
      <w:r w:rsidR="004F523D">
        <w:rPr>
          <w:rFonts w:ascii="Garamond" w:hAnsi="Garamond"/>
          <w:i/>
          <w:sz w:val="24"/>
          <w:szCs w:val="24"/>
        </w:rPr>
        <w:t>s</w:t>
      </w:r>
      <w:proofErr w:type="spellEnd"/>
      <w:r w:rsidR="004F523D" w:rsidRPr="004F523D">
        <w:rPr>
          <w:rFonts w:ascii="Garamond" w:hAnsi="Garamond"/>
          <w:i/>
          <w:sz w:val="24"/>
          <w:szCs w:val="24"/>
        </w:rPr>
        <w:t xml:space="preserve"> </w:t>
      </w:r>
      <w:proofErr w:type="spellStart"/>
      <w:r w:rsidRPr="004F523D">
        <w:rPr>
          <w:rFonts w:ascii="Garamond" w:hAnsi="Garamond"/>
          <w:i/>
          <w:sz w:val="24"/>
          <w:szCs w:val="24"/>
        </w:rPr>
        <w:t>consulares</w:t>
      </w:r>
      <w:proofErr w:type="spellEnd"/>
      <w:r>
        <w:rPr>
          <w:rFonts w:ascii="Garamond" w:hAnsi="Garamond"/>
          <w:sz w:val="24"/>
          <w:szCs w:val="24"/>
        </w:rPr>
        <w:t xml:space="preserve"> (consular registration card). </w:t>
      </w:r>
      <w:r w:rsidR="00C15118">
        <w:rPr>
          <w:rFonts w:ascii="Garamond" w:hAnsi="Garamond"/>
          <w:sz w:val="24"/>
          <w:szCs w:val="24"/>
        </w:rPr>
        <w:t xml:space="preserve"> </w:t>
      </w:r>
      <w:proofErr w:type="spellStart"/>
      <w:r w:rsidR="00C15118" w:rsidRPr="004F523D">
        <w:rPr>
          <w:rFonts w:ascii="Garamond" w:hAnsi="Garamond"/>
          <w:i/>
          <w:sz w:val="24"/>
          <w:szCs w:val="24"/>
        </w:rPr>
        <w:t>Matr</w:t>
      </w:r>
      <w:r w:rsidR="004F523D">
        <w:rPr>
          <w:rFonts w:ascii="Garamond" w:hAnsi="Garamond"/>
          <w:i/>
          <w:sz w:val="24"/>
          <w:szCs w:val="24"/>
        </w:rPr>
        <w:t>í</w:t>
      </w:r>
      <w:r w:rsidR="00C15118" w:rsidRPr="004F523D">
        <w:rPr>
          <w:rFonts w:ascii="Garamond" w:hAnsi="Garamond"/>
          <w:i/>
          <w:sz w:val="24"/>
          <w:szCs w:val="24"/>
        </w:rPr>
        <w:t>culas</w:t>
      </w:r>
      <w:proofErr w:type="spellEnd"/>
      <w:r w:rsidR="00C15118" w:rsidRPr="004F523D">
        <w:rPr>
          <w:rFonts w:ascii="Garamond" w:hAnsi="Garamond"/>
          <w:i/>
          <w:sz w:val="24"/>
          <w:szCs w:val="24"/>
        </w:rPr>
        <w:t xml:space="preserve"> </w:t>
      </w:r>
      <w:proofErr w:type="spellStart"/>
      <w:r w:rsidR="00C15118" w:rsidRPr="004F523D">
        <w:rPr>
          <w:rFonts w:ascii="Garamond" w:hAnsi="Garamond"/>
          <w:i/>
          <w:sz w:val="24"/>
          <w:szCs w:val="24"/>
        </w:rPr>
        <w:t>consulares</w:t>
      </w:r>
      <w:proofErr w:type="spellEnd"/>
      <w:r w:rsidR="00D747F4">
        <w:rPr>
          <w:rFonts w:ascii="Garamond" w:hAnsi="Garamond"/>
          <w:sz w:val="24"/>
          <w:szCs w:val="24"/>
        </w:rPr>
        <w:t xml:space="preserve"> are issued</w:t>
      </w:r>
      <w:r w:rsidR="00C15118">
        <w:rPr>
          <w:rFonts w:ascii="Garamond" w:hAnsi="Garamond"/>
          <w:sz w:val="24"/>
          <w:szCs w:val="24"/>
        </w:rPr>
        <w:t xml:space="preserve"> to individuals living abroad as proof</w:t>
      </w:r>
      <w:r w:rsidR="006C7833">
        <w:rPr>
          <w:rFonts w:ascii="Garamond" w:hAnsi="Garamond"/>
          <w:sz w:val="24"/>
          <w:szCs w:val="24"/>
        </w:rPr>
        <w:t xml:space="preserve"> of Mexican citizenship</w:t>
      </w:r>
      <w:r w:rsidR="00C15118">
        <w:rPr>
          <w:rFonts w:ascii="Garamond" w:hAnsi="Garamond"/>
          <w:sz w:val="24"/>
          <w:szCs w:val="24"/>
        </w:rPr>
        <w:t xml:space="preserve"> and are accepted in many places in the U.S. as official identification</w:t>
      </w:r>
      <w:r w:rsidR="003F563E">
        <w:rPr>
          <w:rFonts w:ascii="Garamond" w:hAnsi="Garamond"/>
          <w:sz w:val="24"/>
          <w:szCs w:val="24"/>
        </w:rPr>
        <w:t>. The registration documents have been issued</w:t>
      </w:r>
      <w:r w:rsidR="00A445C0">
        <w:rPr>
          <w:rFonts w:ascii="Garamond" w:hAnsi="Garamond"/>
          <w:sz w:val="24"/>
          <w:szCs w:val="24"/>
        </w:rPr>
        <w:t xml:space="preserve"> </w:t>
      </w:r>
      <w:r w:rsidR="003F563E">
        <w:rPr>
          <w:rFonts w:ascii="Garamond" w:hAnsi="Garamond"/>
          <w:sz w:val="24"/>
          <w:szCs w:val="24"/>
        </w:rPr>
        <w:t xml:space="preserve">originally on paper but in response to the number of </w:t>
      </w:r>
      <w:r w:rsidR="004F523D">
        <w:rPr>
          <w:rFonts w:ascii="Garamond" w:hAnsi="Garamond"/>
          <w:sz w:val="24"/>
          <w:szCs w:val="24"/>
        </w:rPr>
        <w:t>undocumented</w:t>
      </w:r>
      <w:r w:rsidR="003F563E">
        <w:rPr>
          <w:rFonts w:ascii="Garamond" w:hAnsi="Garamond"/>
          <w:sz w:val="24"/>
          <w:szCs w:val="24"/>
        </w:rPr>
        <w:t xml:space="preserve"> </w:t>
      </w:r>
      <w:r w:rsidR="003F563E">
        <w:rPr>
          <w:rFonts w:ascii="Garamond" w:hAnsi="Garamond"/>
          <w:sz w:val="24"/>
          <w:szCs w:val="24"/>
        </w:rPr>
        <w:lastRenderedPageBreak/>
        <w:t>migrants the card issued follows the same security standards as the Mexican passport and can serve as identification also in the United States</w:t>
      </w:r>
      <w:r w:rsidR="004F523D">
        <w:rPr>
          <w:rFonts w:ascii="Garamond" w:hAnsi="Garamond"/>
          <w:sz w:val="24"/>
          <w:szCs w:val="24"/>
        </w:rPr>
        <w:t xml:space="preserve"> </w:t>
      </w:r>
      <w:r w:rsidR="00C15118">
        <w:rPr>
          <w:rFonts w:ascii="Garamond" w:hAnsi="Garamond"/>
          <w:sz w:val="24"/>
          <w:szCs w:val="24"/>
        </w:rPr>
        <w:t>(</w:t>
      </w:r>
      <w:proofErr w:type="spellStart"/>
      <w:r w:rsidR="003F563E">
        <w:rPr>
          <w:rFonts w:ascii="Garamond" w:hAnsi="Garamond"/>
          <w:sz w:val="24"/>
          <w:szCs w:val="24"/>
        </w:rPr>
        <w:t>Riosm</w:t>
      </w:r>
      <w:r w:rsidR="003F563E" w:rsidRPr="003C7F34">
        <w:rPr>
          <w:rFonts w:ascii="Garamond" w:hAnsi="Garamond"/>
          <w:sz w:val="24"/>
          <w:szCs w:val="24"/>
        </w:rPr>
        <w:t>ena</w:t>
      </w:r>
      <w:proofErr w:type="spellEnd"/>
      <w:r w:rsidR="003F563E">
        <w:rPr>
          <w:rFonts w:ascii="Garamond" w:hAnsi="Garamond"/>
          <w:sz w:val="24"/>
          <w:szCs w:val="24"/>
        </w:rPr>
        <w:t xml:space="preserve"> and Massey 2010</w:t>
      </w:r>
      <w:r w:rsidR="00C15118">
        <w:rPr>
          <w:rFonts w:ascii="Garamond" w:hAnsi="Garamond"/>
          <w:sz w:val="24"/>
          <w:szCs w:val="24"/>
        </w:rPr>
        <w:t>).</w:t>
      </w:r>
      <w:r w:rsidR="003F563E">
        <w:rPr>
          <w:rStyle w:val="FootnoteReference"/>
          <w:rFonts w:ascii="Garamond" w:hAnsi="Garamond"/>
          <w:sz w:val="24"/>
          <w:szCs w:val="24"/>
        </w:rPr>
        <w:footnoteReference w:id="17"/>
      </w:r>
      <w:r w:rsidR="00C15118">
        <w:rPr>
          <w:rFonts w:ascii="Garamond" w:hAnsi="Garamond"/>
          <w:sz w:val="24"/>
          <w:szCs w:val="24"/>
        </w:rPr>
        <w:t xml:space="preserve">  Both legal and illegal immigrants can apply for them, and it is estimated that 40% of all Mexicans living in the U.S. have one</w:t>
      </w:r>
      <w:r w:rsidR="00F5794B">
        <w:rPr>
          <w:rFonts w:ascii="Garamond" w:hAnsi="Garamond"/>
          <w:sz w:val="24"/>
          <w:szCs w:val="24"/>
        </w:rPr>
        <w:t>.</w:t>
      </w:r>
      <w:r w:rsidR="00F5794B">
        <w:rPr>
          <w:rStyle w:val="FootnoteReference"/>
          <w:rFonts w:ascii="Garamond" w:hAnsi="Garamond"/>
          <w:sz w:val="24"/>
          <w:szCs w:val="24"/>
        </w:rPr>
        <w:footnoteReference w:id="18"/>
      </w:r>
      <w:r w:rsidR="00C15118">
        <w:rPr>
          <w:rFonts w:ascii="Garamond" w:hAnsi="Garamond"/>
          <w:sz w:val="24"/>
          <w:szCs w:val="24"/>
        </w:rPr>
        <w:t xml:space="preserve"> The data are </w:t>
      </w:r>
      <w:r w:rsidR="006726CB">
        <w:rPr>
          <w:rFonts w:ascii="Garamond" w:hAnsi="Garamond"/>
          <w:sz w:val="24"/>
          <w:szCs w:val="24"/>
        </w:rPr>
        <w:t>compiled by the Institute for Mexicans Living Abroad, a g</w:t>
      </w:r>
      <w:r w:rsidR="00D747F4">
        <w:rPr>
          <w:rFonts w:ascii="Garamond" w:hAnsi="Garamond"/>
          <w:sz w:val="24"/>
          <w:szCs w:val="24"/>
        </w:rPr>
        <w:t xml:space="preserve">overnment agency that </w:t>
      </w:r>
      <w:r w:rsidR="000D3F33">
        <w:rPr>
          <w:rFonts w:ascii="Garamond" w:hAnsi="Garamond"/>
          <w:sz w:val="24"/>
          <w:szCs w:val="24"/>
        </w:rPr>
        <w:t>is part of Mexico’s State Department.  The data</w:t>
      </w:r>
      <w:r w:rsidR="006726CB">
        <w:rPr>
          <w:rFonts w:ascii="Garamond" w:hAnsi="Garamond"/>
          <w:sz w:val="24"/>
          <w:szCs w:val="24"/>
        </w:rPr>
        <w:t xml:space="preserve"> are </w:t>
      </w:r>
      <w:r w:rsidR="00C15118">
        <w:rPr>
          <w:rFonts w:ascii="Garamond" w:hAnsi="Garamond"/>
          <w:sz w:val="24"/>
          <w:szCs w:val="24"/>
        </w:rPr>
        <w:t xml:space="preserve">available </w:t>
      </w:r>
      <w:r w:rsidR="006726CB">
        <w:rPr>
          <w:rFonts w:ascii="Garamond" w:hAnsi="Garamond"/>
          <w:sz w:val="24"/>
          <w:szCs w:val="24"/>
        </w:rPr>
        <w:t xml:space="preserve">on an annual basis </w:t>
      </w:r>
      <w:r w:rsidR="00C15118">
        <w:rPr>
          <w:rFonts w:ascii="Garamond" w:hAnsi="Garamond"/>
          <w:sz w:val="24"/>
          <w:szCs w:val="24"/>
        </w:rPr>
        <w:t>from 2008 to the present, and to abstract from the immediate impact of the financial crisis, we use data from 2010.  These data</w:t>
      </w:r>
      <w:r w:rsidR="00B047DC">
        <w:rPr>
          <w:rFonts w:ascii="Garamond" w:hAnsi="Garamond"/>
          <w:sz w:val="24"/>
          <w:szCs w:val="24"/>
        </w:rPr>
        <w:t xml:space="preserve"> therefore</w:t>
      </w:r>
      <w:r w:rsidR="00C15118">
        <w:rPr>
          <w:rFonts w:ascii="Garamond" w:hAnsi="Garamond"/>
          <w:sz w:val="24"/>
          <w:szCs w:val="24"/>
        </w:rPr>
        <w:t xml:space="preserve"> capture the number of immigrants from particular states in Mexico that applied for a </w:t>
      </w:r>
      <w:proofErr w:type="spellStart"/>
      <w:r w:rsidR="00C15118" w:rsidRPr="004F523D">
        <w:rPr>
          <w:rFonts w:ascii="Garamond" w:hAnsi="Garamond"/>
          <w:i/>
          <w:sz w:val="24"/>
          <w:szCs w:val="24"/>
        </w:rPr>
        <w:t>matr</w:t>
      </w:r>
      <w:r w:rsidR="004F523D">
        <w:rPr>
          <w:rFonts w:ascii="Garamond" w:hAnsi="Garamond"/>
          <w:i/>
          <w:sz w:val="24"/>
          <w:szCs w:val="24"/>
        </w:rPr>
        <w:t>í</w:t>
      </w:r>
      <w:r w:rsidR="00C15118" w:rsidRPr="004F523D">
        <w:rPr>
          <w:rFonts w:ascii="Garamond" w:hAnsi="Garamond"/>
          <w:i/>
          <w:sz w:val="24"/>
          <w:szCs w:val="24"/>
        </w:rPr>
        <w:t>cula</w:t>
      </w:r>
      <w:proofErr w:type="spellEnd"/>
      <w:r w:rsidR="00C15118" w:rsidRPr="004F523D">
        <w:rPr>
          <w:rFonts w:ascii="Garamond" w:hAnsi="Garamond"/>
          <w:i/>
          <w:sz w:val="24"/>
          <w:szCs w:val="24"/>
        </w:rPr>
        <w:t xml:space="preserve"> consular</w:t>
      </w:r>
      <w:r w:rsidR="00C15118">
        <w:rPr>
          <w:rFonts w:ascii="Garamond" w:hAnsi="Garamond"/>
          <w:sz w:val="24"/>
          <w:szCs w:val="24"/>
        </w:rPr>
        <w:t xml:space="preserve"> from a particular state in the U.S.</w:t>
      </w:r>
      <w:r w:rsidR="00B047DC">
        <w:rPr>
          <w:rFonts w:ascii="Garamond" w:hAnsi="Garamond"/>
          <w:sz w:val="24"/>
          <w:szCs w:val="24"/>
        </w:rPr>
        <w:t xml:space="preserve"> in 2010.  </w:t>
      </w:r>
      <w:r w:rsidR="00C15118">
        <w:rPr>
          <w:rFonts w:ascii="Garamond" w:hAnsi="Garamond"/>
          <w:sz w:val="24"/>
          <w:szCs w:val="24"/>
        </w:rPr>
        <w:t xml:space="preserve">  </w:t>
      </w:r>
    </w:p>
    <w:p w:rsidR="003E06BA" w:rsidRDefault="00673D4C" w:rsidP="003E06BA">
      <w:pPr>
        <w:spacing w:after="0" w:line="480" w:lineRule="auto"/>
        <w:ind w:firstLine="432"/>
        <w:rPr>
          <w:rFonts w:ascii="Garamond" w:eastAsia="Times New Roman" w:hAnsi="Garamond"/>
          <w:sz w:val="24"/>
          <w:szCs w:val="24"/>
        </w:rPr>
      </w:pPr>
      <w:r w:rsidRPr="00943D32">
        <w:rPr>
          <w:rFonts w:ascii="Garamond" w:hAnsi="Garamond"/>
          <w:sz w:val="24"/>
          <w:szCs w:val="24"/>
        </w:rPr>
        <w:t>The exclusion restriction</w:t>
      </w:r>
      <w:r w:rsidR="0087481B" w:rsidRPr="00943D32">
        <w:rPr>
          <w:rFonts w:ascii="Garamond" w:hAnsi="Garamond"/>
          <w:sz w:val="24"/>
          <w:szCs w:val="24"/>
        </w:rPr>
        <w:t xml:space="preserve"> partially</w:t>
      </w:r>
      <w:r w:rsidRPr="00943D32">
        <w:rPr>
          <w:rFonts w:ascii="Garamond" w:hAnsi="Garamond"/>
          <w:sz w:val="24"/>
          <w:szCs w:val="24"/>
        </w:rPr>
        <w:t xml:space="preserve"> rests on the argument that the weights are a result of historic migra</w:t>
      </w:r>
      <w:r w:rsidR="0087481B" w:rsidRPr="00943D32">
        <w:rPr>
          <w:rFonts w:ascii="Garamond" w:hAnsi="Garamond"/>
          <w:sz w:val="24"/>
          <w:szCs w:val="24"/>
        </w:rPr>
        <w:t>tion patterns and therefore</w:t>
      </w:r>
      <w:r w:rsidR="00E829A8" w:rsidRPr="00943D32">
        <w:rPr>
          <w:rFonts w:ascii="Garamond" w:hAnsi="Garamond"/>
          <w:sz w:val="24"/>
          <w:szCs w:val="24"/>
        </w:rPr>
        <w:t xml:space="preserve"> are independent of</w:t>
      </w:r>
      <w:r w:rsidRPr="00943D32">
        <w:rPr>
          <w:rFonts w:ascii="Garamond" w:hAnsi="Garamond"/>
          <w:sz w:val="24"/>
          <w:szCs w:val="24"/>
        </w:rPr>
        <w:t xml:space="preserve"> shocks within states in Mexico that compel people to migrate. </w:t>
      </w:r>
      <w:r w:rsidR="003E06BA" w:rsidRPr="00943D32">
        <w:rPr>
          <w:rFonts w:ascii="Garamond" w:eastAsia="Times New Roman" w:hAnsi="Garamond"/>
          <w:sz w:val="24"/>
          <w:szCs w:val="24"/>
        </w:rPr>
        <w:t>Previous research has documented that new migrants tend to go to areas where earlier cohorts from the same origin have gone (</w:t>
      </w:r>
      <w:proofErr w:type="spellStart"/>
      <w:r w:rsidR="003E06BA" w:rsidRPr="00943D32">
        <w:rPr>
          <w:rFonts w:ascii="Garamond" w:eastAsia="Times New Roman" w:hAnsi="Garamond"/>
          <w:sz w:val="24"/>
          <w:szCs w:val="24"/>
        </w:rPr>
        <w:t>Bartel</w:t>
      </w:r>
      <w:proofErr w:type="spellEnd"/>
      <w:r w:rsidR="003E06BA" w:rsidRPr="00943D32">
        <w:rPr>
          <w:rFonts w:ascii="Garamond" w:eastAsia="Times New Roman" w:hAnsi="Garamond"/>
          <w:sz w:val="24"/>
          <w:szCs w:val="24"/>
        </w:rPr>
        <w:t xml:space="preserve"> 1989). To the extent however, that new migrants follow pre-established migration patterns, we can </w:t>
      </w:r>
      <w:r w:rsidR="009579C7" w:rsidRPr="00943D32">
        <w:rPr>
          <w:rFonts w:ascii="Garamond" w:eastAsia="Times New Roman" w:hAnsi="Garamond"/>
          <w:sz w:val="24"/>
          <w:szCs w:val="24"/>
        </w:rPr>
        <w:t xml:space="preserve">then </w:t>
      </w:r>
      <w:r w:rsidR="003E06BA" w:rsidRPr="00943D32">
        <w:rPr>
          <w:rFonts w:ascii="Garamond" w:eastAsia="Times New Roman" w:hAnsi="Garamond"/>
          <w:sz w:val="24"/>
          <w:szCs w:val="24"/>
        </w:rPr>
        <w:t xml:space="preserve">use more recent information on migration patterns. </w:t>
      </w:r>
      <w:r w:rsidRPr="00943D32">
        <w:rPr>
          <w:rFonts w:ascii="Garamond" w:hAnsi="Garamond"/>
          <w:sz w:val="24"/>
          <w:szCs w:val="24"/>
        </w:rPr>
        <w:t xml:space="preserve"> </w:t>
      </w:r>
      <w:r w:rsidR="0087481B" w:rsidRPr="00943D32">
        <w:rPr>
          <w:rFonts w:ascii="Garamond" w:hAnsi="Garamond"/>
          <w:sz w:val="24"/>
          <w:szCs w:val="24"/>
        </w:rPr>
        <w:t>While weights prior to 1995</w:t>
      </w:r>
      <w:r w:rsidR="00CF4ABD">
        <w:rPr>
          <w:rFonts w:ascii="Garamond" w:hAnsi="Garamond"/>
          <w:sz w:val="24"/>
          <w:szCs w:val="24"/>
        </w:rPr>
        <w:t xml:space="preserve"> do not exist</w:t>
      </w:r>
      <w:r w:rsidR="0087481B" w:rsidRPr="00943D32">
        <w:rPr>
          <w:rFonts w:ascii="Garamond" w:hAnsi="Garamond"/>
          <w:sz w:val="24"/>
          <w:szCs w:val="24"/>
        </w:rPr>
        <w:t>, we do have multi</w:t>
      </w:r>
      <w:r w:rsidR="003E06BA" w:rsidRPr="00943D32">
        <w:rPr>
          <w:rFonts w:ascii="Garamond" w:hAnsi="Garamond"/>
          <w:sz w:val="24"/>
          <w:szCs w:val="24"/>
        </w:rPr>
        <w:t>ple years of EMIF</w:t>
      </w:r>
      <w:r w:rsidR="0087481B" w:rsidRPr="00943D32">
        <w:rPr>
          <w:rFonts w:ascii="Garamond" w:hAnsi="Garamond"/>
          <w:sz w:val="24"/>
          <w:szCs w:val="24"/>
        </w:rPr>
        <w:t xml:space="preserve"> </w:t>
      </w:r>
      <w:r w:rsidR="00CF4ABD">
        <w:rPr>
          <w:rFonts w:ascii="Garamond" w:hAnsi="Garamond"/>
          <w:sz w:val="24"/>
          <w:szCs w:val="24"/>
        </w:rPr>
        <w:t xml:space="preserve">data </w:t>
      </w:r>
      <w:r w:rsidR="0087481B" w:rsidRPr="00943D32">
        <w:rPr>
          <w:rFonts w:ascii="Garamond" w:hAnsi="Garamond"/>
          <w:sz w:val="24"/>
          <w:szCs w:val="24"/>
        </w:rPr>
        <w:t>and can examine the corr</w:t>
      </w:r>
      <w:r w:rsidR="002A4DF1" w:rsidRPr="00943D32">
        <w:rPr>
          <w:rFonts w:ascii="Garamond" w:hAnsi="Garamond"/>
          <w:sz w:val="24"/>
          <w:szCs w:val="24"/>
        </w:rPr>
        <w:t>elation of these weights over time</w:t>
      </w:r>
      <w:r w:rsidR="0087481B" w:rsidRPr="00943D32">
        <w:rPr>
          <w:rFonts w:ascii="Garamond" w:hAnsi="Garamond"/>
          <w:sz w:val="24"/>
          <w:szCs w:val="24"/>
        </w:rPr>
        <w:t xml:space="preserve">. </w:t>
      </w:r>
      <w:r w:rsidR="003E06BA" w:rsidRPr="00943D32">
        <w:rPr>
          <w:rFonts w:ascii="Garamond" w:hAnsi="Garamond"/>
          <w:sz w:val="24"/>
          <w:szCs w:val="24"/>
        </w:rPr>
        <w:t xml:space="preserve"> </w:t>
      </w:r>
      <w:r w:rsidR="003E06BA" w:rsidRPr="00943D32">
        <w:rPr>
          <w:rFonts w:ascii="Garamond" w:eastAsia="Times New Roman" w:hAnsi="Garamond"/>
          <w:sz w:val="24"/>
          <w:szCs w:val="24"/>
        </w:rPr>
        <w:t>We test the assumption that migration patterns do not change much over time using the EMIF dataset that records migration flows for the longest period available, from 1995 to 2011.  Using 1995 and 2011 data</w:t>
      </w:r>
      <w:r w:rsidR="009579C7">
        <w:rPr>
          <w:rFonts w:ascii="Garamond" w:eastAsia="Times New Roman" w:hAnsi="Garamond"/>
          <w:sz w:val="24"/>
          <w:szCs w:val="24"/>
        </w:rPr>
        <w:t>,</w:t>
      </w:r>
      <w:r w:rsidR="003E06BA" w:rsidRPr="00943D32">
        <w:rPr>
          <w:rFonts w:ascii="Garamond" w:eastAsia="Times New Roman" w:hAnsi="Garamond"/>
          <w:sz w:val="24"/>
          <w:szCs w:val="24"/>
        </w:rPr>
        <w:t xml:space="preserve"> the correlation of the lambdas are .83, corroborating the idea that migration patterns are stable over time. Correlations using data for 1995 and earlier years are between .7 and .85.</w:t>
      </w:r>
      <w:r w:rsidR="00283240">
        <w:rPr>
          <w:rFonts w:ascii="Garamond" w:eastAsia="Times New Roman" w:hAnsi="Garamond"/>
          <w:sz w:val="24"/>
          <w:szCs w:val="24"/>
        </w:rPr>
        <w:t xml:space="preserve">  We provide more checks of this assumption in Section 5. </w:t>
      </w:r>
    </w:p>
    <w:p w:rsidR="004A23FD" w:rsidRPr="00943D32" w:rsidRDefault="0068545D" w:rsidP="00DF7DB7">
      <w:pPr>
        <w:spacing w:after="0" w:line="480" w:lineRule="auto"/>
        <w:ind w:firstLine="432"/>
        <w:rPr>
          <w:rFonts w:ascii="Garamond" w:eastAsia="Times New Roman" w:hAnsi="Garamond"/>
          <w:sz w:val="24"/>
          <w:szCs w:val="24"/>
        </w:rPr>
      </w:pPr>
      <w:r>
        <w:rPr>
          <w:rFonts w:ascii="Garamond" w:eastAsia="Times New Roman" w:hAnsi="Garamond"/>
          <w:sz w:val="24"/>
          <w:szCs w:val="24"/>
        </w:rPr>
        <w:t>W</w:t>
      </w:r>
      <w:r w:rsidR="00450981">
        <w:rPr>
          <w:rFonts w:ascii="Garamond" w:eastAsia="Times New Roman" w:hAnsi="Garamond"/>
          <w:sz w:val="24"/>
          <w:szCs w:val="24"/>
        </w:rPr>
        <w:t xml:space="preserve">e calculate the </w:t>
      </w:r>
      <w:r>
        <w:rPr>
          <w:rFonts w:ascii="Garamond" w:eastAsia="Times New Roman" w:hAnsi="Garamond"/>
          <w:sz w:val="24"/>
          <w:szCs w:val="24"/>
        </w:rPr>
        <w:t xml:space="preserve">average predicted male migration to the US </w:t>
      </w:r>
      <w:r w:rsidR="00450981">
        <w:rPr>
          <w:rFonts w:ascii="Garamond" w:eastAsia="Times New Roman" w:hAnsi="Garamond"/>
          <w:sz w:val="24"/>
          <w:szCs w:val="24"/>
        </w:rPr>
        <w:t>across states for the year 2000, a year in which sex ratios were very low</w:t>
      </w:r>
      <w:r>
        <w:rPr>
          <w:rFonts w:ascii="Garamond" w:eastAsia="Times New Roman" w:hAnsi="Garamond"/>
          <w:sz w:val="24"/>
          <w:szCs w:val="24"/>
        </w:rPr>
        <w:t xml:space="preserve">, and compare the results using the three different migration </w:t>
      </w:r>
      <w:r>
        <w:rPr>
          <w:rFonts w:ascii="Garamond" w:eastAsia="Times New Roman" w:hAnsi="Garamond"/>
          <w:sz w:val="24"/>
          <w:szCs w:val="24"/>
        </w:rPr>
        <w:lastRenderedPageBreak/>
        <w:t>data sources</w:t>
      </w:r>
      <w:r w:rsidR="00450981">
        <w:rPr>
          <w:rFonts w:ascii="Garamond" w:eastAsia="Times New Roman" w:hAnsi="Garamond"/>
          <w:sz w:val="24"/>
          <w:szCs w:val="24"/>
        </w:rPr>
        <w:t xml:space="preserve">.  These means are shown in </w:t>
      </w:r>
      <w:r w:rsidR="003B2534">
        <w:rPr>
          <w:rFonts w:ascii="Garamond" w:eastAsia="Times New Roman" w:hAnsi="Garamond"/>
          <w:sz w:val="24"/>
          <w:szCs w:val="24"/>
        </w:rPr>
        <w:t>Table</w:t>
      </w:r>
      <w:r w:rsidR="00450981">
        <w:rPr>
          <w:rFonts w:ascii="Garamond" w:eastAsia="Times New Roman" w:hAnsi="Garamond"/>
          <w:sz w:val="24"/>
          <w:szCs w:val="24"/>
        </w:rPr>
        <w:t xml:space="preserve"> 4, with standard deviations in parentheses.  The means are the total number of predicted </w:t>
      </w:r>
      <w:r w:rsidR="00283240">
        <w:rPr>
          <w:rFonts w:ascii="Garamond" w:eastAsia="Times New Roman" w:hAnsi="Garamond"/>
          <w:sz w:val="24"/>
          <w:szCs w:val="24"/>
        </w:rPr>
        <w:t xml:space="preserve">male </w:t>
      </w:r>
      <w:r w:rsidR="00450981">
        <w:rPr>
          <w:rFonts w:ascii="Garamond" w:eastAsia="Times New Roman" w:hAnsi="Garamond"/>
          <w:sz w:val="24"/>
          <w:szCs w:val="24"/>
        </w:rPr>
        <w:t>migrants by cohort, such that the value of 1</w:t>
      </w:r>
      <w:r w:rsidR="00D97BB8">
        <w:rPr>
          <w:rFonts w:ascii="Garamond" w:eastAsia="Times New Roman" w:hAnsi="Garamond"/>
          <w:sz w:val="24"/>
          <w:szCs w:val="24"/>
        </w:rPr>
        <w:t>,</w:t>
      </w:r>
      <w:r w:rsidR="00450981">
        <w:rPr>
          <w:rFonts w:ascii="Garamond" w:eastAsia="Times New Roman" w:hAnsi="Garamond"/>
          <w:sz w:val="24"/>
          <w:szCs w:val="24"/>
        </w:rPr>
        <w:t xml:space="preserve">589, found in the first row in column one, means that one thousand, five hundred and eighty nine men between the ages of 18 and 25 from a given state, on average, are expected to reside in the U.S. rather than that Mexican </w:t>
      </w:r>
      <w:r w:rsidR="002A7CE8">
        <w:rPr>
          <w:rFonts w:ascii="Garamond" w:eastAsia="Times New Roman" w:hAnsi="Garamond"/>
          <w:sz w:val="24"/>
          <w:szCs w:val="24"/>
        </w:rPr>
        <w:t xml:space="preserve">state.  These predicted values </w:t>
      </w:r>
      <w:r w:rsidR="00450981">
        <w:rPr>
          <w:rFonts w:ascii="Garamond" w:eastAsia="Times New Roman" w:hAnsi="Garamond"/>
          <w:sz w:val="24"/>
          <w:szCs w:val="24"/>
        </w:rPr>
        <w:t>vary across states depending on the size of the population and migration incidence.  The table clearly shows that predicted migration is highest for the 26 to 33 year age cohort</w:t>
      </w:r>
      <w:r w:rsidR="00DF7DB7">
        <w:rPr>
          <w:rFonts w:ascii="Garamond" w:eastAsia="Times New Roman" w:hAnsi="Garamond"/>
          <w:sz w:val="24"/>
          <w:szCs w:val="24"/>
        </w:rPr>
        <w:t>, and slowly declines in subsequent age groups</w:t>
      </w:r>
      <w:r w:rsidR="00450981">
        <w:rPr>
          <w:rFonts w:ascii="Garamond" w:eastAsia="Times New Roman" w:hAnsi="Garamond"/>
          <w:sz w:val="24"/>
          <w:szCs w:val="24"/>
        </w:rPr>
        <w:t xml:space="preserve">.  Unsurprisingly, the lowest level of migration </w:t>
      </w:r>
      <w:r w:rsidR="00DF7DB7">
        <w:rPr>
          <w:rFonts w:ascii="Garamond" w:eastAsia="Times New Roman" w:hAnsi="Garamond"/>
          <w:sz w:val="24"/>
          <w:szCs w:val="24"/>
        </w:rPr>
        <w:t>is predicted for the 50 to 57 year old age cohort, with migration predicted to be close to one third of that for the youngest three cohorts.</w:t>
      </w:r>
      <w:r w:rsidR="00450981">
        <w:rPr>
          <w:rFonts w:ascii="Garamond" w:eastAsia="Times New Roman" w:hAnsi="Garamond"/>
          <w:sz w:val="24"/>
          <w:szCs w:val="24"/>
        </w:rPr>
        <w:t xml:space="preserve"> </w:t>
      </w:r>
      <w:r w:rsidR="00DF7DB7">
        <w:rPr>
          <w:rFonts w:ascii="Garamond" w:eastAsia="Times New Roman" w:hAnsi="Garamond"/>
          <w:sz w:val="24"/>
          <w:szCs w:val="24"/>
        </w:rPr>
        <w:t xml:space="preserve"> T</w:t>
      </w:r>
      <w:r w:rsidR="00450981">
        <w:rPr>
          <w:rFonts w:ascii="Garamond" w:eastAsia="Times New Roman" w:hAnsi="Garamond"/>
          <w:sz w:val="24"/>
          <w:szCs w:val="24"/>
        </w:rPr>
        <w:t>he table</w:t>
      </w:r>
      <w:r w:rsidR="00DF7DB7">
        <w:rPr>
          <w:rFonts w:ascii="Garamond" w:eastAsia="Times New Roman" w:hAnsi="Garamond"/>
          <w:sz w:val="24"/>
          <w:szCs w:val="24"/>
        </w:rPr>
        <w:t xml:space="preserve"> also</w:t>
      </w:r>
      <w:r w:rsidR="00450981">
        <w:rPr>
          <w:rFonts w:ascii="Garamond" w:eastAsia="Times New Roman" w:hAnsi="Garamond"/>
          <w:sz w:val="24"/>
          <w:szCs w:val="24"/>
        </w:rPr>
        <w:t xml:space="preserve"> shows </w:t>
      </w:r>
      <w:r w:rsidR="00DF7DB7">
        <w:rPr>
          <w:rFonts w:ascii="Garamond" w:eastAsia="Times New Roman" w:hAnsi="Garamond"/>
          <w:sz w:val="24"/>
          <w:szCs w:val="24"/>
        </w:rPr>
        <w:t xml:space="preserve">a </w:t>
      </w:r>
      <w:r w:rsidR="00450981">
        <w:rPr>
          <w:rFonts w:ascii="Garamond" w:eastAsia="Times New Roman" w:hAnsi="Garamond"/>
          <w:sz w:val="24"/>
          <w:szCs w:val="24"/>
        </w:rPr>
        <w:t>remarkable</w:t>
      </w:r>
      <w:r w:rsidR="00DF7DB7">
        <w:rPr>
          <w:rFonts w:ascii="Garamond" w:eastAsia="Times New Roman" w:hAnsi="Garamond"/>
          <w:sz w:val="24"/>
          <w:szCs w:val="24"/>
        </w:rPr>
        <w:t xml:space="preserve"> level of</w:t>
      </w:r>
      <w:r w:rsidR="00450981">
        <w:rPr>
          <w:rFonts w:ascii="Garamond" w:eastAsia="Times New Roman" w:hAnsi="Garamond"/>
          <w:sz w:val="24"/>
          <w:szCs w:val="24"/>
        </w:rPr>
        <w:t xml:space="preserve"> consistency across all three weighting</w:t>
      </w:r>
      <w:r w:rsidR="006E73FC">
        <w:rPr>
          <w:rFonts w:ascii="Garamond" w:eastAsia="Times New Roman" w:hAnsi="Garamond"/>
          <w:sz w:val="24"/>
          <w:szCs w:val="24"/>
        </w:rPr>
        <w:t xml:space="preserve"> </w:t>
      </w:r>
      <w:r w:rsidR="00314C26">
        <w:rPr>
          <w:rFonts w:ascii="Garamond" w:eastAsia="Times New Roman" w:hAnsi="Garamond"/>
          <w:sz w:val="24"/>
          <w:szCs w:val="24"/>
        </w:rPr>
        <w:t>variables, which are based on different data sources</w:t>
      </w:r>
      <w:r w:rsidR="00450981">
        <w:rPr>
          <w:rFonts w:ascii="Garamond" w:eastAsia="Times New Roman" w:hAnsi="Garamond"/>
          <w:sz w:val="24"/>
          <w:szCs w:val="24"/>
        </w:rPr>
        <w:t>.  For every cohort the average predicted values and their standard deviations are quite similar.</w:t>
      </w:r>
      <w:r w:rsidR="00DF7DB7">
        <w:rPr>
          <w:rFonts w:ascii="Garamond" w:eastAsia="Times New Roman" w:hAnsi="Garamond"/>
          <w:sz w:val="24"/>
          <w:szCs w:val="24"/>
        </w:rPr>
        <w:t xml:space="preserve">  This further supports the assertion that </w:t>
      </w:r>
      <w:proofErr w:type="gramStart"/>
      <w:r w:rsidR="00DF7DB7">
        <w:rPr>
          <w:rFonts w:ascii="Garamond" w:eastAsia="Times New Roman" w:hAnsi="Garamond"/>
          <w:sz w:val="24"/>
          <w:szCs w:val="24"/>
        </w:rPr>
        <w:t>migration</w:t>
      </w:r>
      <w:proofErr w:type="gramEnd"/>
      <w:r w:rsidR="00DF7DB7">
        <w:rPr>
          <w:rFonts w:ascii="Garamond" w:eastAsia="Times New Roman" w:hAnsi="Garamond"/>
          <w:sz w:val="24"/>
          <w:szCs w:val="24"/>
        </w:rPr>
        <w:t xml:space="preserve"> patterns are largely driven by historic factors, and</w:t>
      </w:r>
      <w:r w:rsidR="00FA3F6E">
        <w:rPr>
          <w:rFonts w:ascii="Garamond" w:eastAsia="Times New Roman" w:hAnsi="Garamond"/>
          <w:sz w:val="24"/>
          <w:szCs w:val="24"/>
        </w:rPr>
        <w:t xml:space="preserve"> likely</w:t>
      </w:r>
      <w:r w:rsidR="00DF7DB7">
        <w:rPr>
          <w:rFonts w:ascii="Garamond" w:eastAsia="Times New Roman" w:hAnsi="Garamond"/>
          <w:sz w:val="24"/>
          <w:szCs w:val="24"/>
        </w:rPr>
        <w:t xml:space="preserve"> do not change dramatically over time.  </w:t>
      </w:r>
      <w:r w:rsidR="00450981">
        <w:rPr>
          <w:rFonts w:ascii="Garamond" w:eastAsia="Times New Roman" w:hAnsi="Garamond"/>
          <w:sz w:val="24"/>
          <w:szCs w:val="24"/>
        </w:rPr>
        <w:t xml:space="preserve">   </w:t>
      </w:r>
      <w:r w:rsidR="004A23FD">
        <w:rPr>
          <w:rFonts w:ascii="Garamond" w:eastAsia="Times New Roman" w:hAnsi="Garamond"/>
          <w:sz w:val="24"/>
          <w:szCs w:val="24"/>
        </w:rPr>
        <w:t xml:space="preserve">  </w:t>
      </w:r>
    </w:p>
    <w:p w:rsidR="00A749C3" w:rsidRPr="00943D32" w:rsidRDefault="00A749C3" w:rsidP="003E06BA">
      <w:pPr>
        <w:spacing w:after="0" w:line="480" w:lineRule="auto"/>
        <w:ind w:firstLine="432"/>
        <w:rPr>
          <w:rFonts w:ascii="Garamond" w:hAnsi="Garamond"/>
          <w:sz w:val="24"/>
          <w:szCs w:val="24"/>
        </w:rPr>
      </w:pPr>
    </w:p>
    <w:p w:rsidR="00283240" w:rsidRDefault="004F14FC" w:rsidP="00283240">
      <w:pPr>
        <w:numPr>
          <w:ilvl w:val="0"/>
          <w:numId w:val="1"/>
        </w:numPr>
        <w:spacing w:after="0" w:line="480" w:lineRule="auto"/>
        <w:rPr>
          <w:rFonts w:ascii="Garamond" w:hAnsi="Garamond"/>
          <w:b/>
          <w:sz w:val="24"/>
          <w:szCs w:val="24"/>
        </w:rPr>
      </w:pPr>
      <w:r>
        <w:rPr>
          <w:rFonts w:ascii="Garamond" w:eastAsia="Times New Roman" w:hAnsi="Garamond"/>
          <w:noProof/>
          <w:sz w:val="24"/>
          <w:szCs w:val="24"/>
        </w:rPr>
        <w:drawing>
          <wp:inline distT="0" distB="0" distL="0" distR="0">
            <wp:extent cx="9525" cy="9525"/>
            <wp:effectExtent l="0" t="0" r="0" b="0"/>
            <wp:docPr id="22" name="Picture 22"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eardo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50CBF" w:rsidRPr="00943D32">
        <w:rPr>
          <w:rFonts w:ascii="Garamond" w:hAnsi="Garamond"/>
          <w:sz w:val="24"/>
          <w:szCs w:val="24"/>
        </w:rPr>
        <w:t xml:space="preserve"> </w:t>
      </w:r>
      <w:r w:rsidR="00A749C3" w:rsidRPr="00A54FF1">
        <w:rPr>
          <w:rFonts w:ascii="Garamond" w:hAnsi="Garamond"/>
          <w:b/>
          <w:sz w:val="24"/>
          <w:szCs w:val="24"/>
        </w:rPr>
        <w:t>Results</w:t>
      </w:r>
    </w:p>
    <w:p w:rsidR="00283240" w:rsidRDefault="00283240" w:rsidP="00032C80">
      <w:pPr>
        <w:numPr>
          <w:ilvl w:val="1"/>
          <w:numId w:val="1"/>
        </w:numPr>
        <w:spacing w:after="0" w:line="480" w:lineRule="auto"/>
        <w:rPr>
          <w:rFonts w:ascii="Garamond" w:hAnsi="Garamond"/>
          <w:b/>
          <w:sz w:val="24"/>
          <w:szCs w:val="24"/>
        </w:rPr>
      </w:pPr>
      <w:r>
        <w:rPr>
          <w:rFonts w:ascii="Garamond" w:hAnsi="Garamond"/>
          <w:b/>
          <w:sz w:val="24"/>
          <w:szCs w:val="24"/>
        </w:rPr>
        <w:t>First Stage</w:t>
      </w:r>
    </w:p>
    <w:p w:rsidR="00283240" w:rsidRDefault="00283240" w:rsidP="00283240">
      <w:pPr>
        <w:spacing w:after="0" w:line="480" w:lineRule="auto"/>
        <w:rPr>
          <w:rFonts w:ascii="Garamond" w:hAnsi="Garamond"/>
          <w:sz w:val="24"/>
          <w:szCs w:val="24"/>
        </w:rPr>
      </w:pPr>
      <w:r>
        <w:rPr>
          <w:rFonts w:ascii="Garamond" w:hAnsi="Garamond"/>
          <w:sz w:val="24"/>
          <w:szCs w:val="24"/>
        </w:rPr>
        <w:t xml:space="preserve">We </w:t>
      </w:r>
      <w:r w:rsidR="00314C26">
        <w:rPr>
          <w:rFonts w:ascii="Garamond" w:hAnsi="Garamond"/>
          <w:sz w:val="24"/>
          <w:szCs w:val="24"/>
        </w:rPr>
        <w:t xml:space="preserve">show </w:t>
      </w:r>
      <w:r>
        <w:rPr>
          <w:rFonts w:ascii="Garamond" w:hAnsi="Garamond"/>
          <w:sz w:val="24"/>
          <w:szCs w:val="24"/>
        </w:rPr>
        <w:t xml:space="preserve">the results from the first stage regression, where predicted male migration is used as an exogenous determinant of the ratio of men to women in any given cohort, state and year.  </w:t>
      </w:r>
    </w:p>
    <w:p w:rsidR="00283240" w:rsidRDefault="00283240" w:rsidP="00283240">
      <w:pPr>
        <w:spacing w:after="0" w:line="480" w:lineRule="auto"/>
        <w:ind w:left="360"/>
        <w:rPr>
          <w:rFonts w:ascii="Garamond" w:hAnsi="Garamond"/>
          <w:sz w:val="24"/>
          <w:szCs w:val="24"/>
        </w:rPr>
      </w:pPr>
      <w:r w:rsidRPr="00BD106F">
        <w:rPr>
          <w:rFonts w:ascii="Garamond" w:hAnsi="Garamond"/>
          <w:position w:val="-26"/>
          <w:sz w:val="24"/>
          <w:szCs w:val="24"/>
        </w:rPr>
        <w:object w:dxaOrig="6759" w:dyaOrig="639">
          <v:shape id="_x0000_i1047" type="#_x0000_t75" style="width:338.25pt;height:32.25pt" o:ole="">
            <v:imagedata r:id="rId53" o:title=""/>
          </v:shape>
          <o:OLEObject Type="Embed" ProgID="Equation.3" ShapeID="_x0000_i1047" DrawAspect="Content" ObjectID="_1489935318" r:id="rId54"/>
        </w:object>
      </w:r>
    </w:p>
    <w:p w:rsidR="00283240" w:rsidRDefault="00283240" w:rsidP="00283240">
      <w:pPr>
        <w:spacing w:after="0" w:line="480" w:lineRule="auto"/>
        <w:rPr>
          <w:rFonts w:ascii="Garamond" w:hAnsi="Garamond"/>
          <w:sz w:val="24"/>
          <w:szCs w:val="24"/>
        </w:rPr>
      </w:pPr>
      <w:r>
        <w:rPr>
          <w:rFonts w:ascii="Garamond" w:hAnsi="Garamond"/>
          <w:sz w:val="24"/>
          <w:szCs w:val="24"/>
        </w:rPr>
        <w:t xml:space="preserve">It is important to note that </w:t>
      </w:r>
      <w:proofErr w:type="spellStart"/>
      <w:r w:rsidRPr="00943D32">
        <w:rPr>
          <w:rFonts w:ascii="Garamond" w:hAnsi="Garamond"/>
          <w:i/>
          <w:sz w:val="24"/>
          <w:szCs w:val="24"/>
        </w:rPr>
        <w:t>Xst</w:t>
      </w:r>
      <w:proofErr w:type="spellEnd"/>
      <w:r>
        <w:rPr>
          <w:rFonts w:ascii="Garamond" w:hAnsi="Garamond"/>
          <w:sz w:val="24"/>
          <w:szCs w:val="24"/>
        </w:rPr>
        <w:t xml:space="preserve"> contains the log of the cohort size, which controls for the fact that larger and smaller states will have different numbers of predicted male migrants.  We also scale the predicted migration number by 100 for ease of interpretation.  The instrument captures stocks rather than flows of migrants, and thus predicts the number of Mexican men in a given cohort living in the </w:t>
      </w:r>
      <w:r>
        <w:rPr>
          <w:rFonts w:ascii="Garamond" w:hAnsi="Garamond"/>
          <w:sz w:val="24"/>
          <w:szCs w:val="24"/>
        </w:rPr>
        <w:lastRenderedPageBreak/>
        <w:t xml:space="preserve">U.S. as of any given year, rather than the number who have left over a certain time period.  The measure captures both the outmigration and return migration rates of these men, as higher rates of the former and lower rates of the latter will lead to a larger number of men living in the U.S.   As shown in the theoretical framework, the out and return migration rates of men can predict changes in the sex ratio over time, assuming there is sex imbalance in both.  Our measure therefore should be a good predictor of sex ratios across cohorts, states and time.     </w:t>
      </w:r>
    </w:p>
    <w:p w:rsidR="00283240" w:rsidRDefault="00283240" w:rsidP="00283240">
      <w:pPr>
        <w:spacing w:after="0" w:line="480" w:lineRule="auto"/>
        <w:rPr>
          <w:rFonts w:ascii="Garamond" w:hAnsi="Garamond"/>
          <w:sz w:val="24"/>
          <w:szCs w:val="24"/>
        </w:rPr>
      </w:pPr>
      <w:r>
        <w:rPr>
          <w:rFonts w:ascii="Garamond" w:hAnsi="Garamond"/>
          <w:sz w:val="24"/>
          <w:szCs w:val="24"/>
        </w:rPr>
        <w:tab/>
        <w:t xml:space="preserve">The first stage results are shown in Table 5.  Each cell contains the estimated coefficient on the sex ratio for cohort </w:t>
      </w:r>
      <w:r w:rsidRPr="00121F38">
        <w:rPr>
          <w:rFonts w:ascii="Garamond" w:hAnsi="Garamond"/>
          <w:i/>
          <w:sz w:val="24"/>
          <w:szCs w:val="24"/>
        </w:rPr>
        <w:t>c</w:t>
      </w:r>
      <w:r>
        <w:rPr>
          <w:rFonts w:ascii="Garamond" w:hAnsi="Garamond"/>
          <w:sz w:val="24"/>
          <w:szCs w:val="24"/>
        </w:rPr>
        <w:t xml:space="preserve">, in state </w:t>
      </w:r>
      <w:r w:rsidRPr="00121F38">
        <w:rPr>
          <w:rFonts w:ascii="Garamond" w:hAnsi="Garamond"/>
          <w:i/>
          <w:sz w:val="24"/>
          <w:szCs w:val="24"/>
        </w:rPr>
        <w:t>s</w:t>
      </w:r>
      <w:r>
        <w:rPr>
          <w:rFonts w:ascii="Garamond" w:hAnsi="Garamond"/>
          <w:sz w:val="24"/>
          <w:szCs w:val="24"/>
        </w:rPr>
        <w:t xml:space="preserve"> and year </w:t>
      </w:r>
      <w:r w:rsidRPr="00121F38">
        <w:rPr>
          <w:rFonts w:ascii="Garamond" w:hAnsi="Garamond"/>
          <w:i/>
          <w:sz w:val="24"/>
          <w:szCs w:val="24"/>
        </w:rPr>
        <w:t>t</w:t>
      </w:r>
      <w:r>
        <w:rPr>
          <w:rFonts w:ascii="Garamond" w:hAnsi="Garamond"/>
          <w:sz w:val="24"/>
          <w:szCs w:val="24"/>
        </w:rPr>
        <w:t xml:space="preserve">.  We show estimates for the full 1960-2010 sample and the reduced 1990-2010 sample.  This is necessary because the income and hours worked measures do not include the years 1960 and 1970.  All standard errors are clustered at the state- cohort level.  </w:t>
      </w:r>
    </w:p>
    <w:p w:rsidR="00283240" w:rsidRDefault="00283240" w:rsidP="00B96C4E">
      <w:pPr>
        <w:spacing w:after="0" w:line="480" w:lineRule="auto"/>
        <w:ind w:firstLine="432"/>
        <w:rPr>
          <w:rFonts w:ascii="Garamond" w:hAnsi="Garamond"/>
          <w:sz w:val="24"/>
          <w:szCs w:val="24"/>
        </w:rPr>
      </w:pPr>
      <w:r>
        <w:rPr>
          <w:rFonts w:ascii="Garamond" w:hAnsi="Garamond"/>
          <w:sz w:val="24"/>
          <w:szCs w:val="24"/>
        </w:rPr>
        <w:t>Overall the first stage results are strong.  For all three sources of the weighting matrix the predicted migration value is negative and significant, showing that higher numbers of men predicted to be in the U.S. are indeed associated with lower male to female ratios in the sending states in Mexico.  For example, the coefficients in columns one through three imply that an increase</w:t>
      </w:r>
      <w:r w:rsidR="005C568A" w:rsidRPr="005C568A">
        <w:rPr>
          <w:rFonts w:ascii="Garamond" w:hAnsi="Garamond"/>
          <w:sz w:val="24"/>
          <w:szCs w:val="24"/>
        </w:rPr>
        <w:t xml:space="preserve"> </w:t>
      </w:r>
      <w:r w:rsidR="005C568A">
        <w:rPr>
          <w:rFonts w:ascii="Garamond" w:hAnsi="Garamond"/>
          <w:sz w:val="24"/>
          <w:szCs w:val="24"/>
        </w:rPr>
        <w:t>of 1000</w:t>
      </w:r>
      <w:r>
        <w:rPr>
          <w:rFonts w:ascii="Garamond" w:hAnsi="Garamond"/>
          <w:sz w:val="24"/>
          <w:szCs w:val="24"/>
        </w:rPr>
        <w:t xml:space="preserve"> in the predicted number of men who migrate leads to a decline in the sex ratio of 0.02.  From the mean sex ratio across all cohorts, states and years, this constitutes a decline of 2.07%. Furthermore, it is possible to reject the null hypotheses that the first stage is weak or under-identified, as the F-statistics are above 10 in all cases.  Thus predicted migration to the U.S., stemming from demand shocks, appear to be good predictors of sex ratios across cohorts, states and years.  </w:t>
      </w:r>
    </w:p>
    <w:p w:rsidR="00B96C4E" w:rsidRDefault="00283240" w:rsidP="00B96C4E">
      <w:pPr>
        <w:numPr>
          <w:ilvl w:val="1"/>
          <w:numId w:val="1"/>
        </w:numPr>
        <w:spacing w:after="0" w:line="480" w:lineRule="auto"/>
        <w:rPr>
          <w:rFonts w:ascii="Garamond" w:hAnsi="Garamond"/>
          <w:b/>
          <w:sz w:val="24"/>
          <w:szCs w:val="24"/>
        </w:rPr>
      </w:pPr>
      <w:r>
        <w:rPr>
          <w:rFonts w:ascii="Garamond" w:hAnsi="Garamond"/>
          <w:b/>
          <w:sz w:val="24"/>
          <w:szCs w:val="24"/>
        </w:rPr>
        <w:t xml:space="preserve">Instrument Checks </w:t>
      </w:r>
    </w:p>
    <w:p w:rsidR="00C65556" w:rsidRDefault="00CE1311" w:rsidP="00032C80">
      <w:pPr>
        <w:spacing w:line="480" w:lineRule="auto"/>
        <w:rPr>
          <w:rFonts w:ascii="Garamond" w:hAnsi="Garamond"/>
          <w:sz w:val="24"/>
          <w:szCs w:val="24"/>
        </w:rPr>
      </w:pPr>
      <w:r>
        <w:rPr>
          <w:rFonts w:ascii="Garamond" w:hAnsi="Garamond"/>
          <w:sz w:val="24"/>
          <w:szCs w:val="24"/>
        </w:rPr>
        <w:t>Before proceed</w:t>
      </w:r>
      <w:r w:rsidR="004C7440">
        <w:rPr>
          <w:rFonts w:ascii="Garamond" w:hAnsi="Garamond"/>
          <w:sz w:val="24"/>
          <w:szCs w:val="24"/>
        </w:rPr>
        <w:t>ing we provide several checks of</w:t>
      </w:r>
      <w:r>
        <w:rPr>
          <w:rFonts w:ascii="Garamond" w:hAnsi="Garamond"/>
          <w:sz w:val="24"/>
          <w:szCs w:val="24"/>
        </w:rPr>
        <w:t xml:space="preserve"> the validity of the instrument.  T</w:t>
      </w:r>
      <w:r w:rsidRPr="00CE1311">
        <w:rPr>
          <w:rFonts w:ascii="Garamond" w:hAnsi="Garamond"/>
          <w:sz w:val="24"/>
          <w:szCs w:val="24"/>
        </w:rPr>
        <w:t>he exclusion restriction holds if the predicted number of male migra</w:t>
      </w:r>
      <w:r w:rsidR="006B44AB">
        <w:rPr>
          <w:rFonts w:ascii="Garamond" w:hAnsi="Garamond"/>
          <w:sz w:val="24"/>
          <w:szCs w:val="24"/>
        </w:rPr>
        <w:t>nt</w:t>
      </w:r>
      <w:r w:rsidRPr="00CE1311">
        <w:rPr>
          <w:rFonts w:ascii="Garamond" w:hAnsi="Garamond"/>
          <w:sz w:val="24"/>
          <w:szCs w:val="24"/>
        </w:rPr>
        <w:t xml:space="preserve">s from different cohorts and Mexican states is independent of factors that determine both women's labor force outcomes and the </w:t>
      </w:r>
      <w:r w:rsidRPr="00CE1311">
        <w:rPr>
          <w:rFonts w:ascii="Garamond" w:hAnsi="Garamond"/>
          <w:sz w:val="24"/>
          <w:szCs w:val="24"/>
        </w:rPr>
        <w:lastRenderedPageBreak/>
        <w:t xml:space="preserve">incentives for men to move. </w:t>
      </w:r>
      <w:r w:rsidR="006B016E">
        <w:rPr>
          <w:rFonts w:ascii="Garamond" w:hAnsi="Garamond"/>
          <w:sz w:val="24"/>
          <w:szCs w:val="24"/>
        </w:rPr>
        <w:t xml:space="preserve"> </w:t>
      </w:r>
      <w:r w:rsidRPr="00CE1311">
        <w:rPr>
          <w:rFonts w:ascii="Garamond" w:hAnsi="Garamond"/>
          <w:sz w:val="24"/>
          <w:szCs w:val="24"/>
        </w:rPr>
        <w:t xml:space="preserve">The </w:t>
      </w:r>
      <w:proofErr w:type="spellStart"/>
      <w:r w:rsidRPr="00CE1311">
        <w:rPr>
          <w:rFonts w:ascii="Garamond" w:hAnsi="Garamond"/>
          <w:sz w:val="24"/>
          <w:szCs w:val="24"/>
        </w:rPr>
        <w:t>exogeneity</w:t>
      </w:r>
      <w:proofErr w:type="spellEnd"/>
      <w:r w:rsidRPr="00CE1311">
        <w:rPr>
          <w:rFonts w:ascii="Garamond" w:hAnsi="Garamond"/>
          <w:sz w:val="24"/>
          <w:szCs w:val="24"/>
        </w:rPr>
        <w:t xml:space="preserve"> of the instrument rests on the argument that the predicted migration numbers are generated by historic trends rather than contemporaneous supply shocks. </w:t>
      </w:r>
      <w:r w:rsidR="004C7440">
        <w:rPr>
          <w:rFonts w:ascii="Garamond" w:hAnsi="Garamond"/>
          <w:sz w:val="24"/>
          <w:szCs w:val="24"/>
        </w:rPr>
        <w:t xml:space="preserve">If this assumption holds, </w:t>
      </w:r>
      <w:r w:rsidRPr="00CE1311">
        <w:rPr>
          <w:rFonts w:ascii="Garamond" w:hAnsi="Garamond"/>
          <w:sz w:val="24"/>
          <w:szCs w:val="24"/>
        </w:rPr>
        <w:t xml:space="preserve">an increase in employment opportunities in U.S. states where men from a given Mexican state historically have not gone should have no impact on the </w:t>
      </w:r>
      <w:r w:rsidR="005C568A">
        <w:rPr>
          <w:rFonts w:ascii="Garamond" w:hAnsi="Garamond"/>
          <w:sz w:val="24"/>
          <w:szCs w:val="24"/>
        </w:rPr>
        <w:t>sex</w:t>
      </w:r>
      <w:r w:rsidRPr="00CE1311">
        <w:rPr>
          <w:rFonts w:ascii="Garamond" w:hAnsi="Garamond"/>
          <w:sz w:val="24"/>
          <w:szCs w:val="24"/>
        </w:rPr>
        <w:t xml:space="preserve"> ratio in that Mexican state.  For example, if men from Oaxaca </w:t>
      </w:r>
      <w:r w:rsidR="00314C26">
        <w:rPr>
          <w:rFonts w:ascii="Garamond" w:hAnsi="Garamond"/>
          <w:sz w:val="24"/>
          <w:szCs w:val="24"/>
        </w:rPr>
        <w:t>do not</w:t>
      </w:r>
      <w:r w:rsidRPr="00CE1311">
        <w:rPr>
          <w:rFonts w:ascii="Garamond" w:hAnsi="Garamond"/>
          <w:sz w:val="24"/>
          <w:szCs w:val="24"/>
        </w:rPr>
        <w:t xml:space="preserve"> migrate to Arizona, an increase in job opportu</w:t>
      </w:r>
      <w:r w:rsidR="006721BC">
        <w:rPr>
          <w:rFonts w:ascii="Garamond" w:hAnsi="Garamond"/>
          <w:sz w:val="24"/>
          <w:szCs w:val="24"/>
        </w:rPr>
        <w:t>nities in Arizona should do</w:t>
      </w:r>
      <w:r w:rsidRPr="00CE1311">
        <w:rPr>
          <w:rFonts w:ascii="Garamond" w:hAnsi="Garamond"/>
          <w:sz w:val="24"/>
          <w:szCs w:val="24"/>
        </w:rPr>
        <w:t xml:space="preserve"> little to predict gender ratios in Oaxaca.  </w:t>
      </w:r>
    </w:p>
    <w:p w:rsidR="00D97BB8" w:rsidRDefault="006B016E" w:rsidP="00C65556">
      <w:pPr>
        <w:spacing w:line="480" w:lineRule="auto"/>
        <w:ind w:firstLine="432"/>
        <w:rPr>
          <w:rFonts w:ascii="Garamond" w:hAnsi="Garamond"/>
          <w:sz w:val="24"/>
          <w:szCs w:val="24"/>
        </w:rPr>
      </w:pPr>
      <w:r>
        <w:rPr>
          <w:rFonts w:ascii="Garamond" w:hAnsi="Garamond"/>
          <w:sz w:val="24"/>
          <w:szCs w:val="24"/>
        </w:rPr>
        <w:t>To check this</w:t>
      </w:r>
      <w:r w:rsidR="004C7440">
        <w:rPr>
          <w:rFonts w:ascii="Garamond" w:hAnsi="Garamond"/>
          <w:sz w:val="24"/>
          <w:szCs w:val="24"/>
        </w:rPr>
        <w:t xml:space="preserve"> assumption</w:t>
      </w:r>
      <w:r w:rsidR="006721BC">
        <w:rPr>
          <w:rFonts w:ascii="Garamond" w:hAnsi="Garamond"/>
          <w:sz w:val="24"/>
          <w:szCs w:val="24"/>
        </w:rPr>
        <w:t xml:space="preserve"> </w:t>
      </w:r>
      <w:r>
        <w:rPr>
          <w:rFonts w:ascii="Garamond" w:hAnsi="Garamond"/>
          <w:sz w:val="24"/>
          <w:szCs w:val="24"/>
        </w:rPr>
        <w:t>we create</w:t>
      </w:r>
      <w:r w:rsidR="006721BC">
        <w:rPr>
          <w:rFonts w:ascii="Garamond" w:hAnsi="Garamond"/>
          <w:sz w:val="24"/>
          <w:szCs w:val="24"/>
        </w:rPr>
        <w:t xml:space="preserve"> two, alternative instruments that rely on different weighting mechanisms.  </w:t>
      </w:r>
      <w:r w:rsidR="004C7440">
        <w:rPr>
          <w:rFonts w:ascii="Garamond" w:hAnsi="Garamond"/>
          <w:sz w:val="24"/>
          <w:szCs w:val="24"/>
        </w:rPr>
        <w:t xml:space="preserve">First, we </w:t>
      </w:r>
      <w:r w:rsidR="006721BC">
        <w:rPr>
          <w:rFonts w:ascii="Garamond" w:hAnsi="Garamond"/>
          <w:sz w:val="24"/>
          <w:szCs w:val="24"/>
        </w:rPr>
        <w:t xml:space="preserve">create randomly assigned weights </w:t>
      </w:r>
      <w:r w:rsidR="00D97BB8">
        <w:rPr>
          <w:rFonts w:ascii="Garamond" w:hAnsi="Garamond"/>
          <w:sz w:val="24"/>
          <w:szCs w:val="24"/>
        </w:rPr>
        <w:t>and allocate</w:t>
      </w:r>
      <w:r w:rsidR="00983FB3">
        <w:rPr>
          <w:rFonts w:ascii="Garamond" w:hAnsi="Garamond"/>
          <w:sz w:val="24"/>
          <w:szCs w:val="24"/>
        </w:rPr>
        <w:t xml:space="preserve"> men in different cohorts across Mexican states using these random numbers.  </w:t>
      </w:r>
      <w:r w:rsidR="006721BC">
        <w:rPr>
          <w:rFonts w:ascii="Garamond" w:hAnsi="Garamond"/>
          <w:sz w:val="24"/>
          <w:szCs w:val="24"/>
        </w:rPr>
        <w:t xml:space="preserve">Second, we reverse the actual weights, such that Mexican states that have a high weight receive a low weight and Mexican states that have a low weight receive a high weight.  For example, if Oaxaca has a low weight for Arizona (it makes up a small portion of the Mexican population in Arizona), we assign it a high weight.  </w:t>
      </w:r>
      <w:r w:rsidR="00983FB3">
        <w:rPr>
          <w:rFonts w:ascii="Garamond" w:hAnsi="Garamond"/>
          <w:sz w:val="24"/>
          <w:szCs w:val="24"/>
        </w:rPr>
        <w:t xml:space="preserve">We do this for all three sources for our weights (the EMIF, ENE and </w:t>
      </w:r>
      <w:proofErr w:type="spellStart"/>
      <w:r w:rsidR="00983FB3" w:rsidRPr="005C568A">
        <w:rPr>
          <w:rFonts w:ascii="Garamond" w:hAnsi="Garamond"/>
          <w:i/>
          <w:sz w:val="24"/>
          <w:szCs w:val="24"/>
        </w:rPr>
        <w:t>Matricula</w:t>
      </w:r>
      <w:proofErr w:type="spellEnd"/>
      <w:r w:rsidR="00983FB3" w:rsidRPr="005C568A">
        <w:rPr>
          <w:rFonts w:ascii="Garamond" w:hAnsi="Garamond"/>
          <w:i/>
          <w:sz w:val="24"/>
          <w:szCs w:val="24"/>
        </w:rPr>
        <w:t xml:space="preserve"> Consular</w:t>
      </w:r>
      <w:r w:rsidR="00983FB3">
        <w:rPr>
          <w:rFonts w:ascii="Garamond" w:hAnsi="Garamond"/>
          <w:sz w:val="24"/>
          <w:szCs w:val="24"/>
        </w:rPr>
        <w:t>) and</w:t>
      </w:r>
      <w:r w:rsidR="00D97BB8">
        <w:rPr>
          <w:rFonts w:ascii="Garamond" w:hAnsi="Garamond"/>
          <w:sz w:val="24"/>
          <w:szCs w:val="24"/>
        </w:rPr>
        <w:t>, in each case, allocate</w:t>
      </w:r>
      <w:r w:rsidR="00983FB3">
        <w:rPr>
          <w:rFonts w:ascii="Garamond" w:hAnsi="Garamond"/>
          <w:sz w:val="24"/>
          <w:szCs w:val="24"/>
        </w:rPr>
        <w:t xml:space="preserve"> men in different cohorts across different Mexican states</w:t>
      </w:r>
      <w:r>
        <w:rPr>
          <w:rFonts w:ascii="Garamond" w:hAnsi="Garamond"/>
          <w:sz w:val="24"/>
          <w:szCs w:val="24"/>
        </w:rPr>
        <w:t xml:space="preserve"> using these reversed weights. </w:t>
      </w:r>
      <w:r w:rsidR="006721BC">
        <w:rPr>
          <w:rFonts w:ascii="Garamond" w:hAnsi="Garamond"/>
          <w:sz w:val="24"/>
          <w:szCs w:val="24"/>
        </w:rPr>
        <w:t xml:space="preserve"> </w:t>
      </w:r>
      <w:r w:rsidR="00983FB3">
        <w:rPr>
          <w:rFonts w:ascii="Garamond" w:hAnsi="Garamond"/>
          <w:sz w:val="24"/>
          <w:szCs w:val="24"/>
        </w:rPr>
        <w:t>We then re-estimate the first stage equation using our alternative instruments.  The results are provided in</w:t>
      </w:r>
      <w:r w:rsidR="00493814">
        <w:rPr>
          <w:rFonts w:ascii="Garamond" w:hAnsi="Garamond"/>
          <w:sz w:val="24"/>
          <w:szCs w:val="24"/>
        </w:rPr>
        <w:t xml:space="preserve"> Panel </w:t>
      </w:r>
      <w:proofErr w:type="gramStart"/>
      <w:r w:rsidR="00493814">
        <w:rPr>
          <w:rFonts w:ascii="Garamond" w:hAnsi="Garamond"/>
          <w:sz w:val="24"/>
          <w:szCs w:val="24"/>
        </w:rPr>
        <w:t>A</w:t>
      </w:r>
      <w:proofErr w:type="gramEnd"/>
      <w:r w:rsidR="00493814">
        <w:rPr>
          <w:rFonts w:ascii="Garamond" w:hAnsi="Garamond"/>
          <w:sz w:val="24"/>
          <w:szCs w:val="24"/>
        </w:rPr>
        <w:t xml:space="preserve"> of</w:t>
      </w:r>
      <w:r w:rsidR="00983FB3">
        <w:rPr>
          <w:rFonts w:ascii="Garamond" w:hAnsi="Garamond"/>
          <w:sz w:val="24"/>
          <w:szCs w:val="24"/>
        </w:rPr>
        <w:t xml:space="preserve"> Table </w:t>
      </w:r>
      <w:r>
        <w:rPr>
          <w:rFonts w:ascii="Garamond" w:hAnsi="Garamond"/>
          <w:sz w:val="24"/>
          <w:szCs w:val="24"/>
        </w:rPr>
        <w:t>6.  For comparison we include results from the first stage that use the actual instruments.</w:t>
      </w:r>
      <w:r w:rsidR="00983FB3">
        <w:rPr>
          <w:rFonts w:ascii="Garamond" w:hAnsi="Garamond"/>
          <w:sz w:val="24"/>
          <w:szCs w:val="24"/>
        </w:rPr>
        <w:t xml:space="preserve"> </w:t>
      </w:r>
      <w:r w:rsidR="00843BBE">
        <w:rPr>
          <w:rFonts w:ascii="Garamond" w:hAnsi="Garamond"/>
          <w:sz w:val="24"/>
          <w:szCs w:val="24"/>
        </w:rPr>
        <w:t xml:space="preserve"> </w:t>
      </w:r>
    </w:p>
    <w:p w:rsidR="00B96C4E" w:rsidRDefault="00843BBE" w:rsidP="00D97BB8">
      <w:pPr>
        <w:spacing w:line="480" w:lineRule="auto"/>
        <w:ind w:firstLine="432"/>
        <w:rPr>
          <w:rFonts w:ascii="Garamond" w:hAnsi="Garamond"/>
          <w:sz w:val="24"/>
          <w:szCs w:val="24"/>
        </w:rPr>
      </w:pPr>
      <w:r>
        <w:rPr>
          <w:rFonts w:ascii="Garamond" w:hAnsi="Garamond"/>
          <w:sz w:val="24"/>
          <w:szCs w:val="24"/>
        </w:rPr>
        <w:t>The results provide evidence in support of the exclusion restriction.  While the actual instruments are associated with significant declines in the ratio of men to women, the alternative instruments are not.  In the case of the randomly assigned weights, the coefficient is less than half the size of those from the actual instr</w:t>
      </w:r>
      <w:r w:rsidR="00664910">
        <w:rPr>
          <w:rFonts w:ascii="Garamond" w:hAnsi="Garamond"/>
          <w:sz w:val="24"/>
          <w:szCs w:val="24"/>
        </w:rPr>
        <w:t>uments and is in</w:t>
      </w:r>
      <w:r>
        <w:rPr>
          <w:rFonts w:ascii="Garamond" w:hAnsi="Garamond"/>
          <w:sz w:val="24"/>
          <w:szCs w:val="24"/>
        </w:rPr>
        <w:t xml:space="preserve">significant.  In the case of the reverse weights, the coefficients are positive, extremely small, and insignificant.  Thus </w:t>
      </w:r>
      <w:r w:rsidR="00664910">
        <w:rPr>
          <w:rFonts w:ascii="Garamond" w:hAnsi="Garamond"/>
          <w:sz w:val="24"/>
          <w:szCs w:val="24"/>
        </w:rPr>
        <w:t>predicted male outflows that either are independent of or inversely related to migration patterns do very little to predict sex ratios across states in</w:t>
      </w:r>
      <w:r>
        <w:rPr>
          <w:rFonts w:ascii="Garamond" w:hAnsi="Garamond"/>
          <w:sz w:val="24"/>
          <w:szCs w:val="24"/>
        </w:rPr>
        <w:t xml:space="preserve"> Mexico</w:t>
      </w:r>
      <w:r w:rsidR="00664910">
        <w:rPr>
          <w:rFonts w:ascii="Garamond" w:hAnsi="Garamond"/>
          <w:sz w:val="24"/>
          <w:szCs w:val="24"/>
        </w:rPr>
        <w:t xml:space="preserve">.  This suggests that male out-migration responds to conditions in U.S. states </w:t>
      </w:r>
      <w:r w:rsidR="00664910">
        <w:rPr>
          <w:rFonts w:ascii="Garamond" w:hAnsi="Garamond"/>
          <w:sz w:val="24"/>
          <w:szCs w:val="24"/>
        </w:rPr>
        <w:lastRenderedPageBreak/>
        <w:t>where there is an established network, but does not respond to conditions in U.S. states where these networks are negligible.</w:t>
      </w:r>
      <w:r w:rsidR="00722E8E">
        <w:rPr>
          <w:rFonts w:ascii="Garamond" w:hAnsi="Garamond"/>
          <w:sz w:val="24"/>
          <w:szCs w:val="24"/>
        </w:rPr>
        <w:t xml:space="preserve"> </w:t>
      </w:r>
    </w:p>
    <w:p w:rsidR="00955C34" w:rsidRDefault="00955C34" w:rsidP="00955C34">
      <w:pPr>
        <w:spacing w:line="480" w:lineRule="auto"/>
        <w:ind w:firstLine="432"/>
        <w:rPr>
          <w:rFonts w:ascii="Garamond" w:hAnsi="Garamond"/>
          <w:sz w:val="24"/>
          <w:szCs w:val="24"/>
        </w:rPr>
      </w:pPr>
      <w:r>
        <w:rPr>
          <w:rFonts w:ascii="Garamond" w:hAnsi="Garamond"/>
          <w:sz w:val="24"/>
          <w:szCs w:val="24"/>
        </w:rPr>
        <w:t>An additional concern is that covariate shocks across industries in Mexican and U.S. states predict the weights we use to allocate Mexican men in the U.S. to Mexican st</w:t>
      </w:r>
      <w:r w:rsidR="00E54DEB">
        <w:rPr>
          <w:rFonts w:ascii="Garamond" w:hAnsi="Garamond"/>
          <w:sz w:val="24"/>
          <w:szCs w:val="24"/>
        </w:rPr>
        <w:t>ates.  For example, suppose</w:t>
      </w:r>
      <w:r>
        <w:rPr>
          <w:rFonts w:ascii="Garamond" w:hAnsi="Garamond"/>
          <w:sz w:val="24"/>
          <w:szCs w:val="24"/>
        </w:rPr>
        <w:t xml:space="preserve"> agriculture is a large industry in one Mexican state and faces a negative sho</w:t>
      </w:r>
      <w:r w:rsidR="00E54DEB">
        <w:rPr>
          <w:rFonts w:ascii="Garamond" w:hAnsi="Garamond"/>
          <w:sz w:val="24"/>
          <w:szCs w:val="24"/>
        </w:rPr>
        <w:t>ck.  Men in that state</w:t>
      </w:r>
      <w:r>
        <w:rPr>
          <w:rFonts w:ascii="Garamond" w:hAnsi="Garamond"/>
          <w:sz w:val="24"/>
          <w:szCs w:val="24"/>
        </w:rPr>
        <w:t xml:space="preserve"> have an incentive to move to agricultural areas in the U.S., particular if these areas simultaneously are hit with a positive shock.  In this case the weights might not reflect historic patterns but rather inversely correlated industry shocks across the sending and receiving locations.  This is particularly a concern since our weighting mechanism is based on recent rather than historic data.  If these covariate shocks established the weights we use, which come from 1990 or later, our instrument would cease to be exogenous.  </w:t>
      </w:r>
      <w:r w:rsidR="00F27C47">
        <w:rPr>
          <w:rFonts w:ascii="Garamond" w:hAnsi="Garamond"/>
          <w:sz w:val="24"/>
          <w:szCs w:val="24"/>
        </w:rPr>
        <w:t xml:space="preserve"> </w:t>
      </w:r>
    </w:p>
    <w:p w:rsidR="00955C34" w:rsidRDefault="00955C34" w:rsidP="00955C34">
      <w:pPr>
        <w:spacing w:line="480" w:lineRule="auto"/>
        <w:ind w:firstLine="720"/>
        <w:rPr>
          <w:rFonts w:ascii="Garamond" w:hAnsi="Garamond"/>
          <w:sz w:val="24"/>
          <w:szCs w:val="24"/>
        </w:rPr>
      </w:pPr>
      <w:r>
        <w:rPr>
          <w:rFonts w:ascii="Garamond" w:hAnsi="Garamond"/>
          <w:sz w:val="24"/>
          <w:szCs w:val="24"/>
        </w:rPr>
        <w:t xml:space="preserve">To address this concern, we construct an alternative, </w:t>
      </w:r>
      <w:proofErr w:type="spellStart"/>
      <w:r>
        <w:rPr>
          <w:rFonts w:ascii="Garamond" w:hAnsi="Garamond"/>
          <w:sz w:val="24"/>
          <w:szCs w:val="24"/>
        </w:rPr>
        <w:t>Bartik</w:t>
      </w:r>
      <w:proofErr w:type="spellEnd"/>
      <w:r>
        <w:rPr>
          <w:rFonts w:ascii="Garamond" w:hAnsi="Garamond"/>
          <w:sz w:val="24"/>
          <w:szCs w:val="24"/>
        </w:rPr>
        <w:t xml:space="preserve">-style instrument that allocates Mexican men in the U.S. based on the industrial composition of the sending Mexican state.  </w:t>
      </w:r>
      <w:proofErr w:type="gramStart"/>
      <w:r>
        <w:rPr>
          <w:rFonts w:ascii="Garamond" w:hAnsi="Garamond"/>
          <w:sz w:val="24"/>
          <w:szCs w:val="24"/>
        </w:rPr>
        <w:t>Specifically, let</w:t>
      </w:r>
      <w:r w:rsidR="00F27C47" w:rsidRPr="00E908DC">
        <w:rPr>
          <w:rFonts w:ascii="Garamond" w:hAnsi="Garamond"/>
          <w:position w:val="-14"/>
          <w:sz w:val="24"/>
          <w:szCs w:val="24"/>
        </w:rPr>
        <w:object w:dxaOrig="680" w:dyaOrig="380">
          <v:shape id="_x0000_i1048" type="#_x0000_t75" style="width:33.75pt;height:18.75pt" o:ole="">
            <v:imagedata r:id="rId55" o:title=""/>
          </v:shape>
          <o:OLEObject Type="Embed" ProgID="Equation.3" ShapeID="_x0000_i1048" DrawAspect="Content" ObjectID="_1489935319" r:id="rId56"/>
        </w:object>
      </w:r>
      <w:r>
        <w:rPr>
          <w:rFonts w:ascii="Garamond" w:hAnsi="Garamond"/>
          <w:sz w:val="24"/>
          <w:szCs w:val="24"/>
        </w:rPr>
        <w:t xml:space="preserve">number of Mexican males in cohort </w:t>
      </w:r>
      <w:r w:rsidRPr="00230DA5">
        <w:rPr>
          <w:rFonts w:ascii="Garamond" w:hAnsi="Garamond"/>
          <w:i/>
          <w:sz w:val="24"/>
          <w:szCs w:val="24"/>
        </w:rPr>
        <w:t>c</w:t>
      </w:r>
      <w:r>
        <w:rPr>
          <w:rFonts w:ascii="Garamond" w:hAnsi="Garamond"/>
          <w:sz w:val="24"/>
          <w:szCs w:val="24"/>
        </w:rPr>
        <w:t xml:space="preserve"> in industry </w:t>
      </w:r>
      <w:r w:rsidRPr="00230DA5">
        <w:rPr>
          <w:rFonts w:ascii="Garamond" w:hAnsi="Garamond"/>
          <w:i/>
          <w:sz w:val="24"/>
          <w:szCs w:val="24"/>
        </w:rPr>
        <w:t>g</w:t>
      </w:r>
      <w:r>
        <w:rPr>
          <w:rFonts w:ascii="Garamond" w:hAnsi="Garamond"/>
          <w:sz w:val="24"/>
          <w:szCs w:val="24"/>
        </w:rPr>
        <w:t xml:space="preserve"> in the U.S.</w:t>
      </w:r>
      <w:r w:rsidRPr="00941EF9">
        <w:rPr>
          <w:rFonts w:ascii="Garamond" w:hAnsi="Garamond"/>
          <w:sz w:val="24"/>
          <w:szCs w:val="24"/>
        </w:rPr>
        <w:t xml:space="preserve"> as of a given year.</w:t>
      </w:r>
      <w:proofErr w:type="gramEnd"/>
      <w:r w:rsidRPr="00941EF9">
        <w:rPr>
          <w:rFonts w:ascii="Garamond" w:hAnsi="Garamond"/>
          <w:sz w:val="24"/>
          <w:szCs w:val="24"/>
        </w:rPr>
        <w:t xml:space="preserve">  This</w:t>
      </w:r>
      <w:r>
        <w:rPr>
          <w:rFonts w:ascii="Garamond" w:hAnsi="Garamond"/>
          <w:sz w:val="24"/>
          <w:szCs w:val="24"/>
        </w:rPr>
        <w:t xml:space="preserve"> is the</w:t>
      </w:r>
      <w:r w:rsidRPr="00941EF9">
        <w:rPr>
          <w:rFonts w:ascii="Garamond" w:hAnsi="Garamond"/>
          <w:sz w:val="24"/>
          <w:szCs w:val="24"/>
        </w:rPr>
        <w:t xml:space="preserve"> stock </w:t>
      </w:r>
      <w:r>
        <w:rPr>
          <w:rFonts w:ascii="Garamond" w:hAnsi="Garamond"/>
          <w:sz w:val="24"/>
          <w:szCs w:val="24"/>
        </w:rPr>
        <w:t>of Mexican male workers in each industry, separated by cohort.  This stock of “missing” men is then allocated using the industrial composition of Mexican states as of the base year.  This is represented by</w:t>
      </w:r>
      <w:r w:rsidRPr="00E908DC">
        <w:rPr>
          <w:rFonts w:ascii="Garamond" w:hAnsi="Garamond"/>
          <w:position w:val="-14"/>
          <w:sz w:val="24"/>
          <w:szCs w:val="24"/>
        </w:rPr>
        <w:object w:dxaOrig="580" w:dyaOrig="380">
          <v:shape id="_x0000_i1049" type="#_x0000_t75" style="width:29.25pt;height:18.75pt" o:ole="">
            <v:imagedata r:id="rId38" o:title=""/>
          </v:shape>
          <o:OLEObject Type="Embed" ProgID="Equation.3" ShapeID="_x0000_i1049" DrawAspect="Content" ObjectID="_1489935320" r:id="rId57"/>
        </w:object>
      </w:r>
      <w:r>
        <w:rPr>
          <w:rFonts w:ascii="Garamond" w:hAnsi="Garamond"/>
          <w:sz w:val="24"/>
          <w:szCs w:val="24"/>
        </w:rPr>
        <w:t xml:space="preserve">fraction of workers in industry g that are in Mexican </w:t>
      </w:r>
      <w:proofErr w:type="spellStart"/>
      <w:r>
        <w:rPr>
          <w:rFonts w:ascii="Garamond" w:hAnsi="Garamond"/>
          <w:sz w:val="24"/>
          <w:szCs w:val="24"/>
        </w:rPr>
        <w:t xml:space="preserve">state </w:t>
      </w:r>
      <w:r w:rsidRPr="00F123BD">
        <w:rPr>
          <w:rFonts w:ascii="Garamond" w:hAnsi="Garamond"/>
          <w:i/>
          <w:sz w:val="24"/>
          <w:szCs w:val="24"/>
        </w:rPr>
        <w:t>s</w:t>
      </w:r>
      <w:proofErr w:type="spellEnd"/>
      <w:r>
        <w:rPr>
          <w:rFonts w:ascii="Garamond" w:hAnsi="Garamond"/>
          <w:sz w:val="24"/>
          <w:szCs w:val="24"/>
        </w:rPr>
        <w:t xml:space="preserve"> in the base year.  Similar to our main instrument, the weights are time invariant.  The difference between this instrument and our original one is that the weighting mechanism is based on the distribution of industries rather than actual migration patterns.  The idea is that if covariate shocks explain the migration patterns</w:t>
      </w:r>
      <w:r w:rsidR="00F27C47">
        <w:rPr>
          <w:rFonts w:ascii="Garamond" w:hAnsi="Garamond"/>
          <w:sz w:val="24"/>
          <w:szCs w:val="24"/>
        </w:rPr>
        <w:t>, then</w:t>
      </w:r>
      <w:r>
        <w:rPr>
          <w:rFonts w:ascii="Garamond" w:hAnsi="Garamond"/>
          <w:sz w:val="24"/>
          <w:szCs w:val="24"/>
        </w:rPr>
        <w:t xml:space="preserve"> this </w:t>
      </w:r>
      <w:proofErr w:type="spellStart"/>
      <w:r>
        <w:rPr>
          <w:rFonts w:ascii="Garamond" w:hAnsi="Garamond"/>
          <w:sz w:val="24"/>
          <w:szCs w:val="24"/>
        </w:rPr>
        <w:t>Bartik</w:t>
      </w:r>
      <w:proofErr w:type="spellEnd"/>
      <w:r>
        <w:rPr>
          <w:rFonts w:ascii="Garamond" w:hAnsi="Garamond"/>
          <w:sz w:val="24"/>
          <w:szCs w:val="24"/>
        </w:rPr>
        <w:t xml:space="preserve"> style instrument should be a good predictor of sex ratios.  In this case the industrial composition helps determine who moves.  If, however, covariate shocks do not </w:t>
      </w:r>
      <w:r>
        <w:rPr>
          <w:rFonts w:ascii="Garamond" w:hAnsi="Garamond"/>
          <w:sz w:val="24"/>
          <w:szCs w:val="24"/>
        </w:rPr>
        <w:lastRenderedPageBreak/>
        <w:t xml:space="preserve">explain the migration patterns, the </w:t>
      </w:r>
      <w:proofErr w:type="spellStart"/>
      <w:r>
        <w:rPr>
          <w:rFonts w:ascii="Garamond" w:hAnsi="Garamond"/>
          <w:sz w:val="24"/>
          <w:szCs w:val="24"/>
        </w:rPr>
        <w:t>Bartik</w:t>
      </w:r>
      <w:proofErr w:type="spellEnd"/>
      <w:r>
        <w:rPr>
          <w:rFonts w:ascii="Garamond" w:hAnsi="Garamond"/>
          <w:sz w:val="24"/>
          <w:szCs w:val="24"/>
        </w:rPr>
        <w:t xml:space="preserve"> style instrument should be a</w:t>
      </w:r>
      <w:r w:rsidR="00F27C47">
        <w:rPr>
          <w:rFonts w:ascii="Garamond" w:hAnsi="Garamond"/>
          <w:sz w:val="24"/>
          <w:szCs w:val="24"/>
        </w:rPr>
        <w:t xml:space="preserve"> poor predictor of sex ratios, and the i</w:t>
      </w:r>
      <w:r>
        <w:rPr>
          <w:rFonts w:ascii="Garamond" w:hAnsi="Garamond"/>
          <w:sz w:val="24"/>
          <w:szCs w:val="24"/>
        </w:rPr>
        <w:t xml:space="preserve">ndustrial composition does not determine who moves.      </w:t>
      </w:r>
    </w:p>
    <w:p w:rsidR="00955C34" w:rsidRDefault="00955C34" w:rsidP="00955C34">
      <w:pPr>
        <w:spacing w:after="0" w:line="480" w:lineRule="auto"/>
        <w:ind w:firstLine="432"/>
        <w:rPr>
          <w:rFonts w:ascii="Garamond" w:hAnsi="Garamond"/>
          <w:sz w:val="24"/>
          <w:szCs w:val="24"/>
        </w:rPr>
      </w:pPr>
      <w:r>
        <w:rPr>
          <w:rFonts w:ascii="Garamond" w:hAnsi="Garamond"/>
          <w:sz w:val="24"/>
          <w:szCs w:val="24"/>
        </w:rPr>
        <w:t xml:space="preserve">We start with 1960 as our base year, since covariate shocks at the beginning of the sample period may play the largest role in determining migration patterns.  However, we continue to consider all other years as base years to ensure that covariate shocks in any one Census year do not determine the allocation of migrants across Mexican states.  We re-estimate the first stage regression using the </w:t>
      </w:r>
      <w:proofErr w:type="spellStart"/>
      <w:r>
        <w:rPr>
          <w:rFonts w:ascii="Garamond" w:hAnsi="Garamond"/>
          <w:sz w:val="24"/>
          <w:szCs w:val="24"/>
        </w:rPr>
        <w:t>Bartik</w:t>
      </w:r>
      <w:proofErr w:type="spellEnd"/>
      <w:r>
        <w:rPr>
          <w:rFonts w:ascii="Garamond" w:hAnsi="Garamond"/>
          <w:sz w:val="24"/>
          <w:szCs w:val="24"/>
        </w:rPr>
        <w:t xml:space="preserve"> instrument for predicted migration in lieu of one based on migration networks.  All other controls except the industry-year composition variables are included.  </w:t>
      </w:r>
    </w:p>
    <w:p w:rsidR="002A7CE8" w:rsidRDefault="00955C34" w:rsidP="00955C34">
      <w:pPr>
        <w:spacing w:after="0" w:line="480" w:lineRule="auto"/>
        <w:rPr>
          <w:rFonts w:ascii="Garamond" w:hAnsi="Garamond"/>
          <w:sz w:val="24"/>
          <w:szCs w:val="24"/>
        </w:rPr>
      </w:pPr>
      <w:r>
        <w:rPr>
          <w:rFonts w:ascii="Garamond" w:hAnsi="Garamond"/>
          <w:sz w:val="24"/>
          <w:szCs w:val="24"/>
        </w:rPr>
        <w:tab/>
        <w:t xml:space="preserve">The results, provided in Panel B of Table 6, show that the </w:t>
      </w:r>
      <w:proofErr w:type="spellStart"/>
      <w:r>
        <w:rPr>
          <w:rFonts w:ascii="Garamond" w:hAnsi="Garamond"/>
          <w:sz w:val="24"/>
          <w:szCs w:val="24"/>
        </w:rPr>
        <w:t>Bartik</w:t>
      </w:r>
      <w:proofErr w:type="spellEnd"/>
      <w:r>
        <w:rPr>
          <w:rFonts w:ascii="Garamond" w:hAnsi="Garamond"/>
          <w:sz w:val="24"/>
          <w:szCs w:val="24"/>
        </w:rPr>
        <w:t xml:space="preserve"> instruments do a poor job of predicting sex ratios across cohorts, states and years.  All of the coefficients are insignificant and in all but one (year 2010) the sign is positive, opposite that of the instruments based on migration networks.  This suggests that, if anything, predicted migration based on industry is linked to an increase in the ratio of men to women, rather than a decrease.  </w:t>
      </w:r>
    </w:p>
    <w:p w:rsidR="00493814" w:rsidRDefault="00F27C47" w:rsidP="00493814">
      <w:pPr>
        <w:spacing w:line="480" w:lineRule="auto"/>
        <w:ind w:firstLine="432"/>
        <w:rPr>
          <w:rFonts w:ascii="Garamond" w:hAnsi="Garamond"/>
          <w:sz w:val="24"/>
          <w:szCs w:val="24"/>
        </w:rPr>
      </w:pPr>
      <w:r>
        <w:rPr>
          <w:rFonts w:ascii="Garamond" w:hAnsi="Garamond"/>
          <w:sz w:val="24"/>
          <w:szCs w:val="24"/>
        </w:rPr>
        <w:t>As a final check to our instrument, w</w:t>
      </w:r>
      <w:r w:rsidR="00D97BB8">
        <w:rPr>
          <w:rFonts w:ascii="Garamond" w:hAnsi="Garamond"/>
          <w:sz w:val="24"/>
          <w:szCs w:val="24"/>
        </w:rPr>
        <w:t xml:space="preserve">e also </w:t>
      </w:r>
      <w:r>
        <w:rPr>
          <w:rFonts w:ascii="Garamond" w:hAnsi="Garamond"/>
          <w:sz w:val="24"/>
          <w:szCs w:val="24"/>
        </w:rPr>
        <w:t>examine whether</w:t>
      </w:r>
      <w:r w:rsidR="00D97BB8">
        <w:rPr>
          <w:rFonts w:ascii="Garamond" w:hAnsi="Garamond"/>
          <w:sz w:val="24"/>
          <w:szCs w:val="24"/>
        </w:rPr>
        <w:t xml:space="preserve"> the first stage results are driven by </w:t>
      </w:r>
      <w:r w:rsidR="00493814">
        <w:rPr>
          <w:rFonts w:ascii="Garamond" w:hAnsi="Garamond"/>
          <w:sz w:val="24"/>
          <w:szCs w:val="24"/>
        </w:rPr>
        <w:t>particular receiving and sending</w:t>
      </w:r>
      <w:r w:rsidR="00D97BB8">
        <w:rPr>
          <w:rFonts w:ascii="Garamond" w:hAnsi="Garamond"/>
          <w:sz w:val="24"/>
          <w:szCs w:val="24"/>
        </w:rPr>
        <w:t xml:space="preserve"> states.  </w:t>
      </w:r>
      <w:r w:rsidR="007F6C67">
        <w:rPr>
          <w:rFonts w:ascii="Garamond" w:hAnsi="Garamond"/>
          <w:sz w:val="24"/>
          <w:szCs w:val="24"/>
        </w:rPr>
        <w:t>For receiving states the concern is Mexican immigrants from all Mexican states travel to a handful of loc</w:t>
      </w:r>
      <w:r w:rsidR="005D1E12">
        <w:rPr>
          <w:rFonts w:ascii="Garamond" w:hAnsi="Garamond"/>
          <w:sz w:val="24"/>
          <w:szCs w:val="24"/>
        </w:rPr>
        <w:t>ations in the U.S., in which case the instrument might not capture historic migration patterns and a response to U.S. demand conditions.  For example, in the face of supply shocks all Mexican states may send men to California, the largest receiving state in the U.S., regardless of pre-existing networks or demand conditions in California</w:t>
      </w:r>
      <w:r w:rsidR="00B77DE1">
        <w:rPr>
          <w:rStyle w:val="FootnoteReference"/>
          <w:rFonts w:ascii="Garamond" w:hAnsi="Garamond"/>
          <w:sz w:val="24"/>
          <w:szCs w:val="24"/>
        </w:rPr>
        <w:footnoteReference w:id="19"/>
      </w:r>
      <w:r w:rsidR="005D1E12">
        <w:rPr>
          <w:rFonts w:ascii="Garamond" w:hAnsi="Garamond"/>
          <w:sz w:val="24"/>
          <w:szCs w:val="24"/>
        </w:rPr>
        <w:t xml:space="preserve">.  To test this we remove </w:t>
      </w:r>
      <w:r w:rsidR="00A01D02">
        <w:rPr>
          <w:rFonts w:ascii="Garamond" w:hAnsi="Garamond"/>
          <w:sz w:val="24"/>
          <w:szCs w:val="24"/>
        </w:rPr>
        <w:t>the</w:t>
      </w:r>
      <w:r w:rsidR="005D1E12">
        <w:rPr>
          <w:rFonts w:ascii="Garamond" w:hAnsi="Garamond"/>
          <w:sz w:val="24"/>
          <w:szCs w:val="24"/>
        </w:rPr>
        <w:t xml:space="preserve"> largest </w:t>
      </w:r>
      <w:r w:rsidR="00A01D02">
        <w:rPr>
          <w:rFonts w:ascii="Garamond" w:hAnsi="Garamond"/>
          <w:sz w:val="24"/>
          <w:szCs w:val="24"/>
        </w:rPr>
        <w:t xml:space="preserve">receiving states in the U.S.  Using the EMIF average weights, we define the largest U.S. receiving states as those in which either all Mexican states or all but one Mexican state </w:t>
      </w:r>
      <w:r w:rsidR="00A01D02">
        <w:rPr>
          <w:rFonts w:ascii="Garamond" w:hAnsi="Garamond"/>
          <w:sz w:val="24"/>
          <w:szCs w:val="24"/>
        </w:rPr>
        <w:lastRenderedPageBreak/>
        <w:t xml:space="preserve">has a presence.  For example, according to the EMIF there is someone from every Mexican state in California.  This exercise removes four states: California, Texas, Arizona and Florida.  </w:t>
      </w:r>
      <w:r w:rsidR="00C65556">
        <w:rPr>
          <w:rFonts w:ascii="Garamond" w:hAnsi="Garamond"/>
          <w:sz w:val="24"/>
          <w:szCs w:val="24"/>
        </w:rPr>
        <w:t>We then re-estimate the predicted migration flows using U.S. states except these four, and estimate the relationship between these modified predicted demand and the sex ratios.  The results of this are shown in colu</w:t>
      </w:r>
      <w:r w:rsidR="00955C34">
        <w:rPr>
          <w:rFonts w:ascii="Garamond" w:hAnsi="Garamond"/>
          <w:sz w:val="24"/>
          <w:szCs w:val="24"/>
        </w:rPr>
        <w:t>mns one through three in Panel C</w:t>
      </w:r>
      <w:r w:rsidR="00C65556">
        <w:rPr>
          <w:rFonts w:ascii="Garamond" w:hAnsi="Garamond"/>
          <w:sz w:val="24"/>
          <w:szCs w:val="24"/>
        </w:rPr>
        <w:t xml:space="preserve"> of Table 6.  They show that the first stage is not driven by these main receiving U.S. states, as the coefficients on the modified demand are negative and significant.  If anything, these states do less to predict sex ratios than those that receive migrants from fewer Mexican states, as the coefficients on the modified demand are two to three times larger than those for the original ones.  This provides more evidence that the instrument indeed captures U.S. demand shocks.   </w:t>
      </w:r>
      <w:r w:rsidR="005D1E12">
        <w:rPr>
          <w:rFonts w:ascii="Garamond" w:hAnsi="Garamond"/>
          <w:sz w:val="24"/>
          <w:szCs w:val="24"/>
        </w:rPr>
        <w:t xml:space="preserve">  </w:t>
      </w:r>
      <w:r w:rsidR="00493814">
        <w:rPr>
          <w:rFonts w:ascii="Garamond" w:hAnsi="Garamond"/>
          <w:sz w:val="24"/>
          <w:szCs w:val="24"/>
        </w:rPr>
        <w:t xml:space="preserve">   </w:t>
      </w:r>
    </w:p>
    <w:p w:rsidR="000D6858" w:rsidRDefault="00D97BB8" w:rsidP="00C65556">
      <w:pPr>
        <w:spacing w:line="480" w:lineRule="auto"/>
        <w:ind w:firstLine="432"/>
        <w:rPr>
          <w:rFonts w:ascii="Garamond" w:hAnsi="Garamond"/>
          <w:sz w:val="24"/>
          <w:szCs w:val="24"/>
        </w:rPr>
      </w:pPr>
      <w:r>
        <w:rPr>
          <w:rFonts w:ascii="Garamond" w:hAnsi="Garamond"/>
          <w:sz w:val="24"/>
          <w:szCs w:val="24"/>
        </w:rPr>
        <w:t>For sending states, the concern is that the correlation between predicted migration flows and sex</w:t>
      </w:r>
      <w:r w:rsidR="00493814">
        <w:rPr>
          <w:rFonts w:ascii="Garamond" w:hAnsi="Garamond"/>
          <w:sz w:val="24"/>
          <w:szCs w:val="24"/>
        </w:rPr>
        <w:t xml:space="preserve"> ratios is</w:t>
      </w:r>
      <w:r>
        <w:rPr>
          <w:rFonts w:ascii="Garamond" w:hAnsi="Garamond"/>
          <w:sz w:val="24"/>
          <w:szCs w:val="24"/>
        </w:rPr>
        <w:t xml:space="preserve"> due to a small number of states with high rates of international migration.  If this is the case, the instrument would fail to predict sex ratios for the vast majority of states.  To test this we remove states </w:t>
      </w:r>
      <w:r w:rsidR="00493814">
        <w:rPr>
          <w:rFonts w:ascii="Garamond" w:hAnsi="Garamond"/>
          <w:sz w:val="24"/>
          <w:szCs w:val="24"/>
        </w:rPr>
        <w:t xml:space="preserve">with the highest level of international migration in the year 2000 (the first census where this information was included).  We define high migration states as those where more </w:t>
      </w:r>
      <w:r>
        <w:rPr>
          <w:rFonts w:ascii="Garamond" w:hAnsi="Garamond"/>
          <w:sz w:val="24"/>
          <w:szCs w:val="24"/>
        </w:rPr>
        <w:t>than 10% of households said they had an international migrant.  This removes two sta</w:t>
      </w:r>
      <w:r w:rsidR="00493814">
        <w:rPr>
          <w:rFonts w:ascii="Garamond" w:hAnsi="Garamond"/>
          <w:sz w:val="24"/>
          <w:szCs w:val="24"/>
        </w:rPr>
        <w:t>tes: Michoacá</w:t>
      </w:r>
      <w:r>
        <w:rPr>
          <w:rFonts w:ascii="Garamond" w:hAnsi="Garamond"/>
          <w:sz w:val="24"/>
          <w:szCs w:val="24"/>
        </w:rPr>
        <w:t>n and Zacatecas.</w:t>
      </w:r>
      <w:r w:rsidR="00493814">
        <w:rPr>
          <w:rFonts w:ascii="Garamond" w:hAnsi="Garamond"/>
          <w:sz w:val="24"/>
          <w:szCs w:val="24"/>
        </w:rPr>
        <w:t xml:space="preserve">  The results, in colum</w:t>
      </w:r>
      <w:r w:rsidR="00955C34">
        <w:rPr>
          <w:rFonts w:ascii="Garamond" w:hAnsi="Garamond"/>
          <w:sz w:val="24"/>
          <w:szCs w:val="24"/>
        </w:rPr>
        <w:t>ns five through seven in Panel C</w:t>
      </w:r>
      <w:r w:rsidR="00493814">
        <w:rPr>
          <w:rFonts w:ascii="Garamond" w:hAnsi="Garamond"/>
          <w:sz w:val="24"/>
          <w:szCs w:val="24"/>
        </w:rPr>
        <w:t xml:space="preserve"> of Table 6</w:t>
      </w:r>
      <w:r w:rsidR="00D35078">
        <w:rPr>
          <w:rFonts w:ascii="Garamond" w:hAnsi="Garamond"/>
          <w:sz w:val="24"/>
          <w:szCs w:val="24"/>
        </w:rPr>
        <w:t>,</w:t>
      </w:r>
      <w:r w:rsidR="00493814">
        <w:rPr>
          <w:rFonts w:ascii="Garamond" w:hAnsi="Garamond"/>
          <w:sz w:val="24"/>
          <w:szCs w:val="24"/>
        </w:rPr>
        <w:t xml:space="preserve"> show the first stage results are not driven by these two states.  The coefficient on predicted demand remains similar in size, negative and significant for all three weighting mechanisms</w:t>
      </w:r>
      <w:r w:rsidR="00C65556">
        <w:rPr>
          <w:rFonts w:ascii="Garamond" w:hAnsi="Garamond"/>
          <w:sz w:val="24"/>
          <w:szCs w:val="24"/>
        </w:rPr>
        <w:t>, providing further evidence that the instrument captures demand rather than supply shocks</w:t>
      </w:r>
      <w:r w:rsidR="00493814">
        <w:rPr>
          <w:rFonts w:ascii="Garamond" w:hAnsi="Garamond"/>
          <w:sz w:val="24"/>
          <w:szCs w:val="24"/>
        </w:rPr>
        <w:t xml:space="preserve">.  </w:t>
      </w:r>
      <w:r>
        <w:rPr>
          <w:rFonts w:ascii="Garamond" w:hAnsi="Garamond"/>
          <w:sz w:val="24"/>
          <w:szCs w:val="24"/>
        </w:rPr>
        <w:t xml:space="preserve">  </w:t>
      </w:r>
    </w:p>
    <w:p w:rsidR="005C568A" w:rsidRDefault="005C568A" w:rsidP="00C65556">
      <w:pPr>
        <w:spacing w:line="480" w:lineRule="auto"/>
        <w:ind w:firstLine="432"/>
        <w:rPr>
          <w:rFonts w:ascii="Garamond" w:hAnsi="Garamond"/>
          <w:sz w:val="24"/>
          <w:szCs w:val="24"/>
        </w:rPr>
      </w:pPr>
    </w:p>
    <w:p w:rsidR="00D35078" w:rsidRPr="00CE1311" w:rsidRDefault="00D35078" w:rsidP="00C65556">
      <w:pPr>
        <w:spacing w:line="480" w:lineRule="auto"/>
        <w:ind w:firstLine="432"/>
        <w:rPr>
          <w:rFonts w:ascii="Garamond" w:hAnsi="Garamond"/>
          <w:sz w:val="24"/>
          <w:szCs w:val="24"/>
        </w:rPr>
      </w:pPr>
    </w:p>
    <w:p w:rsidR="00B96C4E" w:rsidRPr="00B96C4E" w:rsidRDefault="00B96C4E" w:rsidP="00B96C4E">
      <w:pPr>
        <w:numPr>
          <w:ilvl w:val="1"/>
          <w:numId w:val="1"/>
        </w:numPr>
        <w:spacing w:after="0" w:line="480" w:lineRule="auto"/>
        <w:rPr>
          <w:rFonts w:ascii="Garamond" w:hAnsi="Garamond"/>
          <w:b/>
          <w:sz w:val="24"/>
          <w:szCs w:val="24"/>
        </w:rPr>
      </w:pPr>
      <w:r>
        <w:rPr>
          <w:rFonts w:ascii="Garamond" w:hAnsi="Garamond"/>
          <w:b/>
          <w:sz w:val="24"/>
          <w:szCs w:val="24"/>
        </w:rPr>
        <w:lastRenderedPageBreak/>
        <w:t xml:space="preserve">Second Stage Results </w:t>
      </w:r>
    </w:p>
    <w:p w:rsidR="00121F38" w:rsidRDefault="00A749C3" w:rsidP="00943D32">
      <w:pPr>
        <w:spacing w:after="0" w:line="480" w:lineRule="auto"/>
        <w:ind w:firstLine="720"/>
        <w:rPr>
          <w:rFonts w:ascii="Garamond" w:hAnsi="Garamond"/>
          <w:sz w:val="24"/>
          <w:szCs w:val="24"/>
        </w:rPr>
      </w:pPr>
      <w:r>
        <w:rPr>
          <w:rFonts w:ascii="Garamond" w:hAnsi="Garamond"/>
          <w:sz w:val="24"/>
          <w:szCs w:val="24"/>
        </w:rPr>
        <w:t>The second st</w:t>
      </w:r>
      <w:r w:rsidR="004A23FD">
        <w:rPr>
          <w:rFonts w:ascii="Garamond" w:hAnsi="Garamond"/>
          <w:sz w:val="24"/>
          <w:szCs w:val="24"/>
        </w:rPr>
        <w:t xml:space="preserve">age results are shown in </w:t>
      </w:r>
      <w:r w:rsidR="003B2534">
        <w:rPr>
          <w:rFonts w:ascii="Garamond" w:hAnsi="Garamond"/>
          <w:sz w:val="24"/>
          <w:szCs w:val="24"/>
        </w:rPr>
        <w:t>Table</w:t>
      </w:r>
      <w:r w:rsidR="006E26F1">
        <w:rPr>
          <w:rFonts w:ascii="Garamond" w:hAnsi="Garamond"/>
          <w:sz w:val="24"/>
          <w:szCs w:val="24"/>
        </w:rPr>
        <w:t xml:space="preserve"> 7</w:t>
      </w:r>
      <w:r>
        <w:rPr>
          <w:rFonts w:ascii="Garamond" w:hAnsi="Garamond"/>
          <w:sz w:val="24"/>
          <w:szCs w:val="24"/>
        </w:rPr>
        <w:t xml:space="preserve">. </w:t>
      </w:r>
      <w:r w:rsidR="0013213E">
        <w:rPr>
          <w:rFonts w:ascii="Garamond" w:hAnsi="Garamond"/>
          <w:sz w:val="24"/>
          <w:szCs w:val="24"/>
        </w:rPr>
        <w:t xml:space="preserve"> </w:t>
      </w:r>
      <w:r w:rsidR="00ED3BCA">
        <w:rPr>
          <w:rFonts w:ascii="Garamond" w:hAnsi="Garamond"/>
          <w:sz w:val="24"/>
          <w:szCs w:val="24"/>
        </w:rPr>
        <w:t>E</w:t>
      </w:r>
      <w:r w:rsidR="00121F38">
        <w:rPr>
          <w:rFonts w:ascii="Garamond" w:hAnsi="Garamond"/>
          <w:sz w:val="24"/>
          <w:szCs w:val="24"/>
        </w:rPr>
        <w:t xml:space="preserve">ach cell contains the estimated coefficient on the sex ratio for cohort </w:t>
      </w:r>
      <w:r w:rsidR="00121F38" w:rsidRPr="00121F38">
        <w:rPr>
          <w:rFonts w:ascii="Garamond" w:hAnsi="Garamond"/>
          <w:i/>
          <w:sz w:val="24"/>
          <w:szCs w:val="24"/>
        </w:rPr>
        <w:t>c</w:t>
      </w:r>
      <w:r w:rsidR="00121F38">
        <w:rPr>
          <w:rFonts w:ascii="Garamond" w:hAnsi="Garamond"/>
          <w:sz w:val="24"/>
          <w:szCs w:val="24"/>
        </w:rPr>
        <w:t xml:space="preserve">, in state </w:t>
      </w:r>
      <w:r w:rsidR="00121F38" w:rsidRPr="00121F38">
        <w:rPr>
          <w:rFonts w:ascii="Garamond" w:hAnsi="Garamond"/>
          <w:i/>
          <w:sz w:val="24"/>
          <w:szCs w:val="24"/>
        </w:rPr>
        <w:t>s</w:t>
      </w:r>
      <w:r w:rsidR="00121F38">
        <w:rPr>
          <w:rFonts w:ascii="Garamond" w:hAnsi="Garamond"/>
          <w:sz w:val="24"/>
          <w:szCs w:val="24"/>
        </w:rPr>
        <w:t xml:space="preserve"> and year </w:t>
      </w:r>
      <w:r w:rsidR="00121F38" w:rsidRPr="00121F38">
        <w:rPr>
          <w:rFonts w:ascii="Garamond" w:hAnsi="Garamond"/>
          <w:i/>
          <w:sz w:val="24"/>
          <w:szCs w:val="24"/>
        </w:rPr>
        <w:t>t</w:t>
      </w:r>
      <w:r w:rsidR="00121F38">
        <w:rPr>
          <w:rFonts w:ascii="Garamond" w:hAnsi="Garamond"/>
          <w:sz w:val="24"/>
          <w:szCs w:val="24"/>
        </w:rPr>
        <w:t>.  Standard errors</w:t>
      </w:r>
      <w:r w:rsidR="00ED3BCA">
        <w:rPr>
          <w:rFonts w:ascii="Garamond" w:hAnsi="Garamond"/>
          <w:sz w:val="24"/>
          <w:szCs w:val="24"/>
        </w:rPr>
        <w:t>, clustered at the age cohort-state level, are presented in parentheses.</w:t>
      </w:r>
      <w:r w:rsidR="00D864FA">
        <w:rPr>
          <w:rFonts w:ascii="Garamond" w:hAnsi="Garamond"/>
          <w:sz w:val="24"/>
          <w:szCs w:val="24"/>
        </w:rPr>
        <w:t xml:space="preserve">  For each outcome</w:t>
      </w:r>
      <w:r w:rsidR="00A54FF1">
        <w:rPr>
          <w:rFonts w:ascii="Garamond" w:hAnsi="Garamond"/>
          <w:sz w:val="24"/>
          <w:szCs w:val="24"/>
        </w:rPr>
        <w:t xml:space="preserve"> we present second stage </w:t>
      </w:r>
      <w:r w:rsidR="00D864FA">
        <w:rPr>
          <w:rFonts w:ascii="Garamond" w:hAnsi="Garamond"/>
          <w:sz w:val="24"/>
          <w:szCs w:val="24"/>
        </w:rPr>
        <w:t>IV coefficients</w:t>
      </w:r>
      <w:r w:rsidR="00A54FF1">
        <w:rPr>
          <w:rFonts w:ascii="Garamond" w:hAnsi="Garamond"/>
          <w:sz w:val="24"/>
          <w:szCs w:val="24"/>
        </w:rPr>
        <w:t xml:space="preserve"> for all three wei</w:t>
      </w:r>
      <w:r w:rsidR="00A97DB4">
        <w:rPr>
          <w:rFonts w:ascii="Garamond" w:hAnsi="Garamond"/>
          <w:sz w:val="24"/>
          <w:szCs w:val="24"/>
        </w:rPr>
        <w:t>ghting matrices</w:t>
      </w:r>
      <w:r w:rsidR="00D864FA">
        <w:rPr>
          <w:rFonts w:ascii="Garamond" w:hAnsi="Garamond"/>
          <w:sz w:val="24"/>
          <w:szCs w:val="24"/>
        </w:rPr>
        <w:t xml:space="preserve"> and OLS coefficients</w:t>
      </w:r>
      <w:r w:rsidR="0050260B">
        <w:rPr>
          <w:rFonts w:ascii="Garamond" w:hAnsi="Garamond"/>
          <w:sz w:val="24"/>
          <w:szCs w:val="24"/>
        </w:rPr>
        <w:t xml:space="preserve"> for </w:t>
      </w:r>
      <w:r w:rsidR="00A54FF1">
        <w:rPr>
          <w:rFonts w:ascii="Garamond" w:hAnsi="Garamond"/>
          <w:sz w:val="24"/>
          <w:szCs w:val="24"/>
        </w:rPr>
        <w:t xml:space="preserve">comparison.  </w:t>
      </w:r>
      <w:r w:rsidR="00614D26">
        <w:rPr>
          <w:rFonts w:ascii="Garamond" w:hAnsi="Garamond"/>
          <w:sz w:val="24"/>
          <w:szCs w:val="24"/>
        </w:rPr>
        <w:t xml:space="preserve">It is important to note that the sex ratios have not been scaled, such that the mean across all cohorts and years is 0.964 and the standard deviation is 0.126.  </w:t>
      </w:r>
    </w:p>
    <w:p w:rsidR="00EE21E2" w:rsidRPr="00A21341" w:rsidRDefault="00107A65" w:rsidP="00943D32">
      <w:pPr>
        <w:spacing w:after="0" w:line="480" w:lineRule="auto"/>
        <w:ind w:firstLine="720"/>
        <w:rPr>
          <w:rFonts w:ascii="Garamond" w:hAnsi="Garamond"/>
          <w:sz w:val="24"/>
          <w:szCs w:val="24"/>
        </w:rPr>
      </w:pPr>
      <w:r w:rsidRPr="00A21341">
        <w:rPr>
          <w:rFonts w:ascii="Garamond" w:hAnsi="Garamond"/>
          <w:sz w:val="24"/>
          <w:szCs w:val="24"/>
        </w:rPr>
        <w:t>The results</w:t>
      </w:r>
      <w:r w:rsidR="00A97DB4" w:rsidRPr="00A21341">
        <w:rPr>
          <w:rFonts w:ascii="Garamond" w:hAnsi="Garamond"/>
          <w:sz w:val="24"/>
          <w:szCs w:val="24"/>
        </w:rPr>
        <w:t xml:space="preserve"> </w:t>
      </w:r>
      <w:r w:rsidR="00D864FA" w:rsidRPr="00A21341">
        <w:rPr>
          <w:rFonts w:ascii="Garamond" w:hAnsi="Garamond"/>
          <w:sz w:val="24"/>
          <w:szCs w:val="24"/>
        </w:rPr>
        <w:t>show that decrease</w:t>
      </w:r>
      <w:r w:rsidR="00A97DB4" w:rsidRPr="00A21341">
        <w:rPr>
          <w:rFonts w:ascii="Garamond" w:hAnsi="Garamond"/>
          <w:sz w:val="24"/>
          <w:szCs w:val="24"/>
        </w:rPr>
        <w:t>s</w:t>
      </w:r>
      <w:r w:rsidR="00D864FA" w:rsidRPr="00A21341">
        <w:rPr>
          <w:rFonts w:ascii="Garamond" w:hAnsi="Garamond"/>
          <w:sz w:val="24"/>
          <w:szCs w:val="24"/>
        </w:rPr>
        <w:t xml:space="preserve"> in the number of men to women have strong impacts on the labor force outcomes of women.  Starting with</w:t>
      </w:r>
      <w:r w:rsidR="00614D26" w:rsidRPr="00A21341">
        <w:rPr>
          <w:rFonts w:ascii="Garamond" w:hAnsi="Garamond"/>
          <w:sz w:val="24"/>
          <w:szCs w:val="24"/>
        </w:rPr>
        <w:t xml:space="preserve"> labor force participation</w:t>
      </w:r>
      <w:r w:rsidR="00A97DB4" w:rsidRPr="00A21341">
        <w:rPr>
          <w:rFonts w:ascii="Garamond" w:hAnsi="Garamond"/>
          <w:sz w:val="24"/>
          <w:szCs w:val="24"/>
        </w:rPr>
        <w:t>, all of the coefficients are negative and significant, with the IV coefficients ranging from</w:t>
      </w:r>
      <w:r w:rsidRPr="00A21341">
        <w:rPr>
          <w:rFonts w:ascii="Garamond" w:hAnsi="Garamond"/>
          <w:sz w:val="24"/>
          <w:szCs w:val="24"/>
        </w:rPr>
        <w:t xml:space="preserve"> -0.3 to -0.58.  This means</w:t>
      </w:r>
      <w:r w:rsidR="00A97DB4" w:rsidRPr="00A21341">
        <w:rPr>
          <w:rFonts w:ascii="Garamond" w:hAnsi="Garamond"/>
          <w:sz w:val="24"/>
          <w:szCs w:val="24"/>
        </w:rPr>
        <w:t xml:space="preserve"> a </w:t>
      </w:r>
      <w:r w:rsidR="00614D26" w:rsidRPr="00A21341">
        <w:rPr>
          <w:rFonts w:ascii="Garamond" w:hAnsi="Garamond"/>
          <w:sz w:val="24"/>
          <w:szCs w:val="24"/>
        </w:rPr>
        <w:t>decrease in the male to female ratio of 0.1</w:t>
      </w:r>
      <w:r w:rsidR="00A54FF1" w:rsidRPr="00A21341">
        <w:rPr>
          <w:rFonts w:ascii="Garamond" w:hAnsi="Garamond"/>
          <w:sz w:val="24"/>
          <w:szCs w:val="24"/>
        </w:rPr>
        <w:t xml:space="preserve"> </w:t>
      </w:r>
      <w:r w:rsidR="00614D26" w:rsidRPr="00A21341">
        <w:rPr>
          <w:rFonts w:ascii="Garamond" w:hAnsi="Garamond"/>
          <w:sz w:val="24"/>
          <w:szCs w:val="24"/>
        </w:rPr>
        <w:t>(or a decrease of one man per every ten women) leads to an estimated increase in women’</w:t>
      </w:r>
      <w:r w:rsidR="00625C72" w:rsidRPr="00A21341">
        <w:rPr>
          <w:rFonts w:ascii="Garamond" w:hAnsi="Garamond"/>
          <w:sz w:val="24"/>
          <w:szCs w:val="24"/>
        </w:rPr>
        <w:t>s labor force participation between</w:t>
      </w:r>
      <w:r w:rsidR="00614D26" w:rsidRPr="00A21341">
        <w:rPr>
          <w:rFonts w:ascii="Garamond" w:hAnsi="Garamond"/>
          <w:sz w:val="24"/>
          <w:szCs w:val="24"/>
        </w:rPr>
        <w:t xml:space="preserve"> 3%</w:t>
      </w:r>
      <w:r w:rsidR="00A97DB4" w:rsidRPr="00A21341">
        <w:rPr>
          <w:rFonts w:ascii="Garamond" w:hAnsi="Garamond"/>
          <w:sz w:val="24"/>
          <w:szCs w:val="24"/>
        </w:rPr>
        <w:t xml:space="preserve"> </w:t>
      </w:r>
      <w:r w:rsidR="00625C72" w:rsidRPr="00A21341">
        <w:rPr>
          <w:rFonts w:ascii="Garamond" w:hAnsi="Garamond"/>
          <w:sz w:val="24"/>
          <w:szCs w:val="24"/>
        </w:rPr>
        <w:t>and 5.8%.</w:t>
      </w:r>
      <w:r w:rsidR="00614D26" w:rsidRPr="00A21341">
        <w:rPr>
          <w:rFonts w:ascii="Garamond" w:hAnsi="Garamond"/>
          <w:sz w:val="24"/>
          <w:szCs w:val="24"/>
        </w:rPr>
        <w:t xml:space="preserve">  Given that women’s labor force participation averages 24.2%, this constitutes an increase of 12.4%-- a non-trivial amount.  </w:t>
      </w:r>
      <w:r w:rsidRPr="00A21341">
        <w:rPr>
          <w:rFonts w:ascii="Garamond" w:hAnsi="Garamond"/>
          <w:sz w:val="24"/>
          <w:szCs w:val="24"/>
        </w:rPr>
        <w:t>Thus a reduction in the relative number of men leads to large changes in labor force participation</w:t>
      </w:r>
      <w:r w:rsidR="00B965D9" w:rsidRPr="00A21341">
        <w:rPr>
          <w:rFonts w:ascii="Garamond" w:hAnsi="Garamond"/>
          <w:sz w:val="24"/>
          <w:szCs w:val="24"/>
        </w:rPr>
        <w:t xml:space="preserve"> of women</w:t>
      </w:r>
      <w:r w:rsidRPr="00A21341">
        <w:rPr>
          <w:rFonts w:ascii="Garamond" w:hAnsi="Garamond"/>
          <w:sz w:val="24"/>
          <w:szCs w:val="24"/>
        </w:rPr>
        <w:t xml:space="preserve">. </w:t>
      </w:r>
    </w:p>
    <w:p w:rsidR="00614D26" w:rsidRPr="00A21341" w:rsidRDefault="00614D26" w:rsidP="00943D32">
      <w:pPr>
        <w:spacing w:after="0" w:line="480" w:lineRule="auto"/>
        <w:ind w:firstLine="720"/>
        <w:rPr>
          <w:rFonts w:ascii="Garamond" w:hAnsi="Garamond"/>
          <w:sz w:val="24"/>
          <w:szCs w:val="24"/>
        </w:rPr>
      </w:pPr>
      <w:r w:rsidRPr="00A21341">
        <w:rPr>
          <w:rFonts w:ascii="Garamond" w:hAnsi="Garamond"/>
          <w:sz w:val="24"/>
          <w:szCs w:val="24"/>
        </w:rPr>
        <w:t xml:space="preserve">We </w:t>
      </w:r>
      <w:r w:rsidR="00625C72" w:rsidRPr="00A21341">
        <w:rPr>
          <w:rFonts w:ascii="Garamond" w:hAnsi="Garamond"/>
          <w:sz w:val="24"/>
          <w:szCs w:val="24"/>
        </w:rPr>
        <w:t xml:space="preserve">also find that among women in the labor force, they are more likely to be </w:t>
      </w:r>
      <w:r w:rsidRPr="00A21341">
        <w:rPr>
          <w:rFonts w:ascii="Garamond" w:hAnsi="Garamond"/>
          <w:sz w:val="24"/>
          <w:szCs w:val="24"/>
        </w:rPr>
        <w:t>in white collar or brain jobs</w:t>
      </w:r>
      <w:r w:rsidR="00625C72" w:rsidRPr="00A21341">
        <w:rPr>
          <w:rFonts w:ascii="Garamond" w:hAnsi="Garamond"/>
          <w:sz w:val="24"/>
          <w:szCs w:val="24"/>
        </w:rPr>
        <w:t xml:space="preserve"> if the sex ratio is low</w:t>
      </w:r>
      <w:r w:rsidRPr="00A21341">
        <w:rPr>
          <w:rFonts w:ascii="Garamond" w:hAnsi="Garamond"/>
          <w:sz w:val="24"/>
          <w:szCs w:val="24"/>
        </w:rPr>
        <w:t xml:space="preserve">.  </w:t>
      </w:r>
      <w:r w:rsidR="00625C72" w:rsidRPr="00A21341">
        <w:rPr>
          <w:rFonts w:ascii="Garamond" w:hAnsi="Garamond"/>
          <w:sz w:val="24"/>
          <w:szCs w:val="24"/>
        </w:rPr>
        <w:t>Specifically, according to the coefficients in columns two through four, a</w:t>
      </w:r>
      <w:r w:rsidRPr="00A21341">
        <w:rPr>
          <w:rFonts w:ascii="Garamond" w:hAnsi="Garamond"/>
          <w:sz w:val="24"/>
          <w:szCs w:val="24"/>
        </w:rPr>
        <w:t xml:space="preserve"> decrease in the male to female ratio of 0.1 leads to an increase in the percentage of women in white collar jobs that ranges from 3</w:t>
      </w:r>
      <w:r w:rsidR="00625C72" w:rsidRPr="00A21341">
        <w:rPr>
          <w:rFonts w:ascii="Garamond" w:hAnsi="Garamond"/>
          <w:sz w:val="24"/>
          <w:szCs w:val="24"/>
        </w:rPr>
        <w:t>.0</w:t>
      </w:r>
      <w:r w:rsidRPr="00A21341">
        <w:rPr>
          <w:rFonts w:ascii="Garamond" w:hAnsi="Garamond"/>
          <w:sz w:val="24"/>
          <w:szCs w:val="24"/>
        </w:rPr>
        <w:t>% to 6</w:t>
      </w:r>
      <w:r w:rsidR="00625C72" w:rsidRPr="00A21341">
        <w:rPr>
          <w:rFonts w:ascii="Garamond" w:hAnsi="Garamond"/>
          <w:sz w:val="24"/>
          <w:szCs w:val="24"/>
        </w:rPr>
        <w:t>.1%.  Meanwhile, the percentage of women in</w:t>
      </w:r>
      <w:r w:rsidRPr="00A21341">
        <w:rPr>
          <w:rFonts w:ascii="Garamond" w:hAnsi="Garamond"/>
          <w:sz w:val="24"/>
          <w:szCs w:val="24"/>
        </w:rPr>
        <w:t xml:space="preserve"> brain jobs </w:t>
      </w:r>
      <w:r w:rsidR="00625C72" w:rsidRPr="00A21341">
        <w:rPr>
          <w:rFonts w:ascii="Garamond" w:hAnsi="Garamond"/>
          <w:sz w:val="24"/>
          <w:szCs w:val="24"/>
        </w:rPr>
        <w:t>is predicted to increase between 3.7% and</w:t>
      </w:r>
      <w:r w:rsidRPr="00A21341">
        <w:rPr>
          <w:rFonts w:ascii="Garamond" w:hAnsi="Garamond"/>
          <w:sz w:val="24"/>
          <w:szCs w:val="24"/>
        </w:rPr>
        <w:t xml:space="preserve"> 6.1%.  </w:t>
      </w:r>
      <w:r w:rsidR="00625C72" w:rsidRPr="00A21341">
        <w:rPr>
          <w:rFonts w:ascii="Garamond" w:hAnsi="Garamond"/>
          <w:sz w:val="24"/>
          <w:szCs w:val="24"/>
        </w:rPr>
        <w:t xml:space="preserve">Given the mean values for both white collar and brain jobs, the highest values constitute increases of approximately </w:t>
      </w:r>
      <w:r w:rsidR="00DB784E">
        <w:rPr>
          <w:rFonts w:ascii="Garamond" w:hAnsi="Garamond"/>
          <w:sz w:val="24"/>
          <w:szCs w:val="24"/>
        </w:rPr>
        <w:t>16.6 and 18.8</w:t>
      </w:r>
      <w:r w:rsidRPr="00A21341">
        <w:rPr>
          <w:rFonts w:ascii="Garamond" w:hAnsi="Garamond"/>
          <w:sz w:val="24"/>
          <w:szCs w:val="24"/>
        </w:rPr>
        <w:t>%</w:t>
      </w:r>
      <w:r w:rsidR="00625C72" w:rsidRPr="00A21341">
        <w:rPr>
          <w:rFonts w:ascii="Garamond" w:hAnsi="Garamond"/>
          <w:sz w:val="24"/>
          <w:szCs w:val="24"/>
        </w:rPr>
        <w:t xml:space="preserve">, respectively. </w:t>
      </w:r>
      <w:r w:rsidR="00403E7C" w:rsidRPr="00A21341">
        <w:rPr>
          <w:rFonts w:ascii="Garamond" w:hAnsi="Garamond"/>
          <w:sz w:val="24"/>
          <w:szCs w:val="24"/>
        </w:rPr>
        <w:t xml:space="preserve"> These coefficients are significant for two out of the three weighting matrices.  </w:t>
      </w:r>
      <w:r w:rsidR="00131EBD">
        <w:rPr>
          <w:rFonts w:ascii="Garamond" w:hAnsi="Garamond"/>
          <w:sz w:val="24"/>
          <w:szCs w:val="24"/>
        </w:rPr>
        <w:t xml:space="preserve">Finally, we find that a relative decline in men leads to an increase in the percentage of working women in </w:t>
      </w:r>
      <w:r w:rsidR="00131EBD">
        <w:rPr>
          <w:rFonts w:ascii="Garamond" w:hAnsi="Garamond"/>
          <w:sz w:val="24"/>
          <w:szCs w:val="24"/>
        </w:rPr>
        <w:lastRenderedPageBreak/>
        <w:t>occupations that are male dominated.  A decrease in the male to female ratio of 0.1 leads to an increase in the percentage of women in male dominate</w:t>
      </w:r>
      <w:r w:rsidR="00DB784E">
        <w:rPr>
          <w:rFonts w:ascii="Garamond" w:hAnsi="Garamond"/>
          <w:sz w:val="24"/>
          <w:szCs w:val="24"/>
        </w:rPr>
        <w:t>d</w:t>
      </w:r>
      <w:r w:rsidR="00131EBD">
        <w:rPr>
          <w:rFonts w:ascii="Garamond" w:hAnsi="Garamond"/>
          <w:sz w:val="24"/>
          <w:szCs w:val="24"/>
        </w:rPr>
        <w:t xml:space="preserve"> jobs that ranges from 1.9% to 2.9%.  Given the mean value of 4.9%, the highest value constitutes an increase of approximately </w:t>
      </w:r>
      <w:r w:rsidR="00DB784E">
        <w:rPr>
          <w:rFonts w:ascii="Garamond" w:hAnsi="Garamond"/>
          <w:sz w:val="24"/>
          <w:szCs w:val="24"/>
        </w:rPr>
        <w:t>58%-- a dramatic increase.</w:t>
      </w:r>
      <w:r w:rsidR="00131EBD">
        <w:rPr>
          <w:rFonts w:ascii="Garamond" w:hAnsi="Garamond"/>
          <w:sz w:val="24"/>
          <w:szCs w:val="24"/>
        </w:rPr>
        <w:t xml:space="preserve"> </w:t>
      </w:r>
      <w:r w:rsidR="00DB784E">
        <w:rPr>
          <w:rFonts w:ascii="Garamond" w:hAnsi="Garamond"/>
          <w:sz w:val="24"/>
          <w:szCs w:val="24"/>
        </w:rPr>
        <w:t xml:space="preserve"> </w:t>
      </w:r>
      <w:r w:rsidR="00403E7C" w:rsidRPr="00A21341">
        <w:rPr>
          <w:rFonts w:ascii="Garamond" w:hAnsi="Garamond"/>
          <w:sz w:val="24"/>
          <w:szCs w:val="24"/>
        </w:rPr>
        <w:t xml:space="preserve">We </w:t>
      </w:r>
      <w:r w:rsidR="00107A65" w:rsidRPr="00A21341">
        <w:rPr>
          <w:rFonts w:ascii="Garamond" w:hAnsi="Garamond"/>
          <w:sz w:val="24"/>
          <w:szCs w:val="24"/>
        </w:rPr>
        <w:t>therefore find</w:t>
      </w:r>
      <w:r w:rsidR="00403E7C" w:rsidRPr="00A21341">
        <w:rPr>
          <w:rFonts w:ascii="Garamond" w:hAnsi="Garamond"/>
          <w:sz w:val="24"/>
          <w:szCs w:val="24"/>
        </w:rPr>
        <w:t xml:space="preserve"> strong evidence that “missing men” increase women’s participation in high skilled jobs.  </w:t>
      </w:r>
      <w:r w:rsidR="00625C72" w:rsidRPr="00A21341">
        <w:rPr>
          <w:rFonts w:ascii="Garamond" w:hAnsi="Garamond"/>
          <w:sz w:val="24"/>
          <w:szCs w:val="24"/>
        </w:rPr>
        <w:t xml:space="preserve"> </w:t>
      </w:r>
    </w:p>
    <w:p w:rsidR="005A3276" w:rsidRPr="00A21341" w:rsidRDefault="00614D26" w:rsidP="005A3276">
      <w:pPr>
        <w:spacing w:after="0" w:line="480" w:lineRule="auto"/>
        <w:rPr>
          <w:rFonts w:ascii="Garamond" w:hAnsi="Garamond"/>
          <w:sz w:val="24"/>
          <w:szCs w:val="24"/>
        </w:rPr>
      </w:pPr>
      <w:r w:rsidRPr="00A21341">
        <w:rPr>
          <w:rFonts w:ascii="Garamond" w:hAnsi="Garamond"/>
          <w:sz w:val="24"/>
          <w:szCs w:val="24"/>
        </w:rPr>
        <w:tab/>
      </w:r>
      <w:r w:rsidR="00764883" w:rsidRPr="00A21341">
        <w:rPr>
          <w:rFonts w:ascii="Garamond" w:hAnsi="Garamond"/>
          <w:sz w:val="24"/>
          <w:szCs w:val="24"/>
        </w:rPr>
        <w:t xml:space="preserve">Is </w:t>
      </w:r>
      <w:r w:rsidR="002653C0" w:rsidRPr="00A21341">
        <w:rPr>
          <w:rFonts w:ascii="Garamond" w:hAnsi="Garamond"/>
          <w:sz w:val="24"/>
          <w:szCs w:val="24"/>
        </w:rPr>
        <w:t>the increase in labor force participation and the prevalence of women in higher skille</w:t>
      </w:r>
      <w:r w:rsidR="00403E7C" w:rsidRPr="00A21341">
        <w:rPr>
          <w:rFonts w:ascii="Garamond" w:hAnsi="Garamond"/>
          <w:sz w:val="24"/>
          <w:szCs w:val="24"/>
        </w:rPr>
        <w:t>d jobs reflected in earnings? O</w:t>
      </w:r>
      <w:r w:rsidR="002653C0" w:rsidRPr="00A21341">
        <w:rPr>
          <w:rFonts w:ascii="Garamond" w:hAnsi="Garamond"/>
          <w:sz w:val="24"/>
          <w:szCs w:val="24"/>
        </w:rPr>
        <w:t>n average</w:t>
      </w:r>
      <w:r w:rsidR="00403E7C" w:rsidRPr="00A21341">
        <w:rPr>
          <w:rFonts w:ascii="Garamond" w:hAnsi="Garamond"/>
          <w:sz w:val="24"/>
          <w:szCs w:val="24"/>
        </w:rPr>
        <w:t>,</w:t>
      </w:r>
      <w:r w:rsidR="002653C0" w:rsidRPr="00A21341">
        <w:rPr>
          <w:rFonts w:ascii="Garamond" w:hAnsi="Garamond"/>
          <w:sz w:val="24"/>
          <w:szCs w:val="24"/>
        </w:rPr>
        <w:t xml:space="preserve"> </w:t>
      </w:r>
      <w:r w:rsidR="00822215" w:rsidRPr="00A21341">
        <w:rPr>
          <w:rFonts w:ascii="Garamond" w:hAnsi="Garamond"/>
          <w:sz w:val="24"/>
          <w:szCs w:val="24"/>
        </w:rPr>
        <w:t xml:space="preserve">it is </w:t>
      </w:r>
      <w:r w:rsidR="002653C0" w:rsidRPr="00A21341">
        <w:rPr>
          <w:rFonts w:ascii="Garamond" w:hAnsi="Garamond"/>
          <w:sz w:val="24"/>
          <w:szCs w:val="24"/>
        </w:rPr>
        <w:t xml:space="preserve">not, </w:t>
      </w:r>
      <w:r w:rsidR="00403E7C" w:rsidRPr="00A21341">
        <w:rPr>
          <w:rFonts w:ascii="Garamond" w:hAnsi="Garamond"/>
          <w:sz w:val="24"/>
          <w:szCs w:val="24"/>
        </w:rPr>
        <w:t xml:space="preserve">as </w:t>
      </w:r>
      <w:r w:rsidR="00F6509B" w:rsidRPr="00A21341">
        <w:rPr>
          <w:rFonts w:ascii="Garamond" w:hAnsi="Garamond"/>
          <w:sz w:val="24"/>
          <w:szCs w:val="24"/>
        </w:rPr>
        <w:t>none of the IV coefficients for log monthly income are significant</w:t>
      </w:r>
      <w:r w:rsidR="00FB26EE" w:rsidRPr="00A21341">
        <w:rPr>
          <w:rFonts w:ascii="Garamond" w:hAnsi="Garamond"/>
          <w:sz w:val="24"/>
          <w:szCs w:val="24"/>
        </w:rPr>
        <w:t>, and in one case (EMIF as weighting matrix) the coefficient is positive</w:t>
      </w:r>
      <w:r w:rsidR="00F6509B" w:rsidRPr="00A21341">
        <w:rPr>
          <w:rFonts w:ascii="Garamond" w:hAnsi="Garamond"/>
          <w:sz w:val="24"/>
          <w:szCs w:val="24"/>
        </w:rPr>
        <w:t xml:space="preserve">.  We do see, however, a significant increase in the percentage of women in the top 25% of earners.  On average, a decline in the ratio of men to women of 0.1 is associated with an increase in the number of women in the top earner group that ranges from 3.7% to 5.1%. </w:t>
      </w:r>
      <w:r w:rsidR="002653C0" w:rsidRPr="00A21341">
        <w:rPr>
          <w:rFonts w:ascii="Garamond" w:hAnsi="Garamond"/>
          <w:sz w:val="24"/>
          <w:szCs w:val="24"/>
        </w:rPr>
        <w:t xml:space="preserve">  </w:t>
      </w:r>
      <w:r w:rsidR="00F6509B" w:rsidRPr="00A21341">
        <w:rPr>
          <w:rFonts w:ascii="Garamond" w:hAnsi="Garamond"/>
          <w:sz w:val="24"/>
          <w:szCs w:val="24"/>
        </w:rPr>
        <w:t xml:space="preserve">This </w:t>
      </w:r>
      <w:r w:rsidR="00FB26EE" w:rsidRPr="00A21341">
        <w:rPr>
          <w:rFonts w:ascii="Garamond" w:hAnsi="Garamond"/>
          <w:sz w:val="24"/>
          <w:szCs w:val="24"/>
        </w:rPr>
        <w:t>suggests</w:t>
      </w:r>
      <w:r w:rsidR="00F6509B" w:rsidRPr="00A21341">
        <w:rPr>
          <w:rFonts w:ascii="Garamond" w:hAnsi="Garamond"/>
          <w:sz w:val="24"/>
          <w:szCs w:val="24"/>
        </w:rPr>
        <w:t xml:space="preserve"> the gains from higher skilled jobs are concentrated at the upper end of the earnings distribution. </w:t>
      </w:r>
    </w:p>
    <w:p w:rsidR="00F6509B" w:rsidRPr="00A21341" w:rsidRDefault="00F6509B" w:rsidP="002653C0">
      <w:pPr>
        <w:spacing w:after="0" w:line="480" w:lineRule="auto"/>
        <w:ind w:firstLine="360"/>
        <w:rPr>
          <w:rFonts w:ascii="Garamond" w:hAnsi="Garamond"/>
          <w:sz w:val="24"/>
          <w:szCs w:val="24"/>
        </w:rPr>
      </w:pPr>
      <w:r w:rsidRPr="00A21341">
        <w:rPr>
          <w:rFonts w:ascii="Garamond" w:hAnsi="Garamond"/>
          <w:sz w:val="24"/>
          <w:szCs w:val="24"/>
        </w:rPr>
        <w:t>Finally, for</w:t>
      </w:r>
      <w:r w:rsidR="002653C0" w:rsidRPr="00A21341">
        <w:rPr>
          <w:rFonts w:ascii="Garamond" w:hAnsi="Garamond"/>
          <w:sz w:val="24"/>
          <w:szCs w:val="24"/>
        </w:rPr>
        <w:t xml:space="preserve"> hours worked we find </w:t>
      </w:r>
      <w:r w:rsidRPr="00A21341">
        <w:rPr>
          <w:rFonts w:ascii="Garamond" w:hAnsi="Garamond"/>
          <w:sz w:val="24"/>
          <w:szCs w:val="24"/>
        </w:rPr>
        <w:t>no significant relationship between the decrease in the relative number of men and the average</w:t>
      </w:r>
      <w:r w:rsidR="00FB26EE" w:rsidRPr="00A21341">
        <w:rPr>
          <w:rFonts w:ascii="Garamond" w:hAnsi="Garamond"/>
          <w:sz w:val="24"/>
          <w:szCs w:val="24"/>
        </w:rPr>
        <w:t xml:space="preserve"> number of</w:t>
      </w:r>
      <w:r w:rsidRPr="00A21341">
        <w:rPr>
          <w:rFonts w:ascii="Garamond" w:hAnsi="Garamond"/>
          <w:sz w:val="24"/>
          <w:szCs w:val="24"/>
        </w:rPr>
        <w:t xml:space="preserve"> hours women work in a week.  While the coefficients are positive,</w:t>
      </w:r>
      <w:r w:rsidR="00FB26EE" w:rsidRPr="00A21341">
        <w:rPr>
          <w:rFonts w:ascii="Garamond" w:hAnsi="Garamond"/>
          <w:sz w:val="24"/>
          <w:szCs w:val="24"/>
        </w:rPr>
        <w:t xml:space="preserve"> the values vary greatly across the models and</w:t>
      </w:r>
      <w:r w:rsidRPr="00A21341">
        <w:rPr>
          <w:rFonts w:ascii="Garamond" w:hAnsi="Garamond"/>
          <w:sz w:val="24"/>
          <w:szCs w:val="24"/>
        </w:rPr>
        <w:t xml:space="preserve"> none are statistically significant.</w:t>
      </w:r>
      <w:r w:rsidR="00FB26EE" w:rsidRPr="00A21341">
        <w:rPr>
          <w:rFonts w:ascii="Garamond" w:hAnsi="Garamond"/>
          <w:sz w:val="24"/>
          <w:szCs w:val="24"/>
        </w:rPr>
        <w:t xml:space="preserve">  To some degree the lack of significance is unsurprising, as we </w:t>
      </w:r>
      <w:r w:rsidR="00822215" w:rsidRPr="00A21341">
        <w:rPr>
          <w:rFonts w:ascii="Garamond" w:hAnsi="Garamond"/>
          <w:sz w:val="24"/>
          <w:szCs w:val="24"/>
        </w:rPr>
        <w:t xml:space="preserve">did not expect a </w:t>
      </w:r>
      <w:r w:rsidR="00FB26EE" w:rsidRPr="00A21341">
        <w:rPr>
          <w:rFonts w:ascii="Garamond" w:hAnsi="Garamond"/>
          <w:sz w:val="24"/>
          <w:szCs w:val="24"/>
        </w:rPr>
        <w:t xml:space="preserve">relationship between increased skill and hours worked.  </w:t>
      </w:r>
    </w:p>
    <w:p w:rsidR="00760BF1" w:rsidRDefault="002653C0" w:rsidP="002653C0">
      <w:pPr>
        <w:spacing w:after="0" w:line="480" w:lineRule="auto"/>
        <w:ind w:firstLine="360"/>
        <w:rPr>
          <w:rFonts w:ascii="Garamond" w:hAnsi="Garamond"/>
          <w:sz w:val="24"/>
          <w:szCs w:val="24"/>
        </w:rPr>
      </w:pPr>
      <w:r w:rsidRPr="00A21341">
        <w:rPr>
          <w:rFonts w:ascii="Garamond" w:hAnsi="Garamond"/>
          <w:sz w:val="24"/>
          <w:szCs w:val="24"/>
        </w:rPr>
        <w:t xml:space="preserve">In sum, we find that declines in the number of men relative to women leads to significant increases in </w:t>
      </w:r>
      <w:r w:rsidR="00822215" w:rsidRPr="00A21341">
        <w:rPr>
          <w:rFonts w:ascii="Garamond" w:hAnsi="Garamond"/>
          <w:sz w:val="24"/>
          <w:szCs w:val="24"/>
        </w:rPr>
        <w:t xml:space="preserve">women’s </w:t>
      </w:r>
      <w:r w:rsidRPr="00A21341">
        <w:rPr>
          <w:rFonts w:ascii="Garamond" w:hAnsi="Garamond"/>
          <w:sz w:val="24"/>
          <w:szCs w:val="24"/>
        </w:rPr>
        <w:t>labor force participation and the</w:t>
      </w:r>
      <w:r w:rsidR="00822215" w:rsidRPr="00A21341">
        <w:rPr>
          <w:rFonts w:ascii="Garamond" w:hAnsi="Garamond"/>
          <w:sz w:val="24"/>
          <w:szCs w:val="24"/>
        </w:rPr>
        <w:t>ir</w:t>
      </w:r>
      <w:r w:rsidRPr="00A21341">
        <w:rPr>
          <w:rFonts w:ascii="Garamond" w:hAnsi="Garamond"/>
          <w:sz w:val="24"/>
          <w:szCs w:val="24"/>
        </w:rPr>
        <w:t xml:space="preserve"> number in high skilled professions.  </w:t>
      </w:r>
      <w:r w:rsidR="00DB784E">
        <w:rPr>
          <w:rFonts w:ascii="Garamond" w:hAnsi="Garamond"/>
          <w:sz w:val="24"/>
          <w:szCs w:val="24"/>
        </w:rPr>
        <w:t xml:space="preserve">Some of this is explained by women moving into professions previously dominated by men.  </w:t>
      </w:r>
      <w:r w:rsidRPr="00A21341">
        <w:rPr>
          <w:rFonts w:ascii="Garamond" w:hAnsi="Garamond"/>
          <w:sz w:val="24"/>
          <w:szCs w:val="24"/>
        </w:rPr>
        <w:t xml:space="preserve">Meanwhile, we find that declines in the </w:t>
      </w:r>
      <w:r w:rsidR="00FB26EE" w:rsidRPr="00A21341">
        <w:rPr>
          <w:rFonts w:ascii="Garamond" w:hAnsi="Garamond"/>
          <w:sz w:val="24"/>
          <w:szCs w:val="24"/>
        </w:rPr>
        <w:t>relative number of men</w:t>
      </w:r>
      <w:r w:rsidRPr="00A21341">
        <w:rPr>
          <w:rFonts w:ascii="Garamond" w:hAnsi="Garamond"/>
          <w:sz w:val="24"/>
          <w:szCs w:val="24"/>
        </w:rPr>
        <w:t xml:space="preserve"> increases in the number of women who are top earners, </w:t>
      </w:r>
      <w:r w:rsidR="00822215" w:rsidRPr="00A21341">
        <w:rPr>
          <w:rFonts w:ascii="Garamond" w:hAnsi="Garamond"/>
          <w:sz w:val="24"/>
          <w:szCs w:val="24"/>
        </w:rPr>
        <w:t xml:space="preserve">although </w:t>
      </w:r>
      <w:r w:rsidR="00FB26EE" w:rsidRPr="00A21341">
        <w:rPr>
          <w:rFonts w:ascii="Garamond" w:hAnsi="Garamond"/>
          <w:sz w:val="24"/>
          <w:szCs w:val="24"/>
        </w:rPr>
        <w:t xml:space="preserve">it does not significantly increase average wages.  </w:t>
      </w:r>
      <w:r w:rsidR="00107A65" w:rsidRPr="00A21341">
        <w:rPr>
          <w:rFonts w:ascii="Garamond" w:hAnsi="Garamond"/>
          <w:sz w:val="24"/>
          <w:szCs w:val="24"/>
        </w:rPr>
        <w:t xml:space="preserve"> This suggests</w:t>
      </w:r>
      <w:r w:rsidRPr="00A21341">
        <w:rPr>
          <w:rFonts w:ascii="Garamond" w:hAnsi="Garamond"/>
          <w:sz w:val="24"/>
          <w:szCs w:val="24"/>
        </w:rPr>
        <w:t xml:space="preserve"> the wage gains </w:t>
      </w:r>
      <w:r w:rsidRPr="00A21341">
        <w:rPr>
          <w:rFonts w:ascii="Garamond" w:hAnsi="Garamond"/>
          <w:sz w:val="24"/>
          <w:szCs w:val="24"/>
        </w:rPr>
        <w:lastRenderedPageBreak/>
        <w:t>from entering higher skilled occupations are concentrated among the higher end of the income distribution.</w:t>
      </w:r>
      <w:r>
        <w:rPr>
          <w:rFonts w:ascii="Garamond" w:hAnsi="Garamond"/>
          <w:sz w:val="24"/>
          <w:szCs w:val="24"/>
        </w:rPr>
        <w:t xml:space="preserve">  </w:t>
      </w:r>
    </w:p>
    <w:p w:rsidR="009C25D4" w:rsidRPr="004310F7" w:rsidRDefault="009C25D4" w:rsidP="00CE79C5">
      <w:pPr>
        <w:numPr>
          <w:ilvl w:val="1"/>
          <w:numId w:val="1"/>
        </w:numPr>
        <w:spacing w:after="0" w:line="480" w:lineRule="auto"/>
        <w:rPr>
          <w:rFonts w:ascii="Garamond" w:hAnsi="Garamond"/>
          <w:b/>
          <w:sz w:val="24"/>
          <w:szCs w:val="24"/>
        </w:rPr>
      </w:pPr>
      <w:r w:rsidRPr="004310F7">
        <w:rPr>
          <w:rFonts w:ascii="Garamond" w:hAnsi="Garamond"/>
          <w:b/>
          <w:sz w:val="24"/>
          <w:szCs w:val="24"/>
        </w:rPr>
        <w:t xml:space="preserve">Robustness Checks </w:t>
      </w:r>
    </w:p>
    <w:p w:rsidR="009C25D4" w:rsidRDefault="00402AA7" w:rsidP="004310F7">
      <w:pPr>
        <w:spacing w:after="0" w:line="480" w:lineRule="auto"/>
        <w:ind w:firstLine="360"/>
        <w:rPr>
          <w:rFonts w:ascii="Garamond" w:hAnsi="Garamond"/>
          <w:sz w:val="24"/>
          <w:szCs w:val="24"/>
        </w:rPr>
      </w:pPr>
      <w:r>
        <w:rPr>
          <w:rFonts w:ascii="Garamond" w:hAnsi="Garamond"/>
          <w:sz w:val="24"/>
          <w:szCs w:val="24"/>
        </w:rPr>
        <w:t xml:space="preserve">Finally, we check the robustness of the results to additional geographic controls.  We consider regional fixed effects and population density, measured by population per square kilometer (using a 2005 measure of square kilometers from INEGI).  The second stage results, calculated for each of the weighting matrices, are shown in Table 8.  Overall the sign and size of the coefficients is similar to those from the original model.  </w:t>
      </w:r>
      <w:r w:rsidR="00173CE2">
        <w:rPr>
          <w:rFonts w:ascii="Garamond" w:hAnsi="Garamond"/>
          <w:sz w:val="24"/>
          <w:szCs w:val="24"/>
        </w:rPr>
        <w:t xml:space="preserve">The results continue to be precisely estimated for all the outcomes but labor force participation in the ENE dataset. </w:t>
      </w:r>
      <w:r>
        <w:rPr>
          <w:rFonts w:ascii="Garamond" w:hAnsi="Garamond"/>
          <w:sz w:val="24"/>
          <w:szCs w:val="24"/>
        </w:rPr>
        <w:t>The precis</w:t>
      </w:r>
      <w:r w:rsidR="00173CE2">
        <w:rPr>
          <w:rFonts w:ascii="Garamond" w:hAnsi="Garamond"/>
          <w:sz w:val="24"/>
          <w:szCs w:val="24"/>
        </w:rPr>
        <w:t>ion of the estimates</w:t>
      </w:r>
      <w:r>
        <w:rPr>
          <w:rFonts w:ascii="Garamond" w:hAnsi="Garamond"/>
          <w:sz w:val="24"/>
          <w:szCs w:val="24"/>
        </w:rPr>
        <w:t xml:space="preserve"> </w:t>
      </w:r>
      <w:r w:rsidR="00173CE2">
        <w:rPr>
          <w:rFonts w:ascii="Garamond" w:hAnsi="Garamond"/>
          <w:sz w:val="24"/>
          <w:szCs w:val="24"/>
        </w:rPr>
        <w:t xml:space="preserve">for the EMIF and </w:t>
      </w:r>
      <w:proofErr w:type="spellStart"/>
      <w:r w:rsidR="00173CE2">
        <w:rPr>
          <w:rFonts w:ascii="Garamond" w:hAnsi="Garamond"/>
          <w:sz w:val="24"/>
          <w:szCs w:val="24"/>
        </w:rPr>
        <w:t>MatCon</w:t>
      </w:r>
      <w:proofErr w:type="spellEnd"/>
      <w:r w:rsidR="00173CE2">
        <w:rPr>
          <w:rFonts w:ascii="Garamond" w:hAnsi="Garamond"/>
          <w:sz w:val="24"/>
          <w:szCs w:val="24"/>
        </w:rPr>
        <w:t xml:space="preserve"> datasets </w:t>
      </w:r>
      <w:r>
        <w:rPr>
          <w:rFonts w:ascii="Garamond" w:hAnsi="Garamond"/>
          <w:sz w:val="24"/>
          <w:szCs w:val="24"/>
        </w:rPr>
        <w:t>however, falls with the inclusion of regional fixed effects</w:t>
      </w:r>
      <w:r w:rsidR="00173CE2">
        <w:rPr>
          <w:rFonts w:ascii="Garamond" w:hAnsi="Garamond"/>
          <w:sz w:val="24"/>
          <w:szCs w:val="24"/>
        </w:rPr>
        <w:t>, and several of the coefficients are not significant at conventional levels.</w:t>
      </w:r>
      <w:r>
        <w:rPr>
          <w:rFonts w:ascii="Garamond" w:hAnsi="Garamond"/>
          <w:sz w:val="24"/>
          <w:szCs w:val="24"/>
        </w:rPr>
        <w:t xml:space="preserve"> </w:t>
      </w:r>
      <w:r w:rsidR="00173CE2">
        <w:rPr>
          <w:rFonts w:ascii="Garamond" w:hAnsi="Garamond"/>
          <w:sz w:val="24"/>
          <w:szCs w:val="24"/>
        </w:rPr>
        <w:t>The increase in the fraction of women in male dominated professions persists however across all data sources.</w:t>
      </w:r>
    </w:p>
    <w:p w:rsidR="00402AA7" w:rsidRDefault="00402AA7" w:rsidP="00CE79C5">
      <w:pPr>
        <w:spacing w:after="0" w:line="480" w:lineRule="auto"/>
        <w:ind w:left="432"/>
        <w:rPr>
          <w:rFonts w:ascii="Garamond" w:hAnsi="Garamond"/>
          <w:sz w:val="24"/>
          <w:szCs w:val="24"/>
        </w:rPr>
      </w:pPr>
    </w:p>
    <w:p w:rsidR="00DC4FEF" w:rsidRPr="00A54FF1" w:rsidRDefault="00DC4FEF" w:rsidP="00DC4FEF">
      <w:pPr>
        <w:numPr>
          <w:ilvl w:val="0"/>
          <w:numId w:val="1"/>
        </w:numPr>
        <w:spacing w:after="0" w:line="480" w:lineRule="auto"/>
        <w:rPr>
          <w:rFonts w:ascii="Garamond" w:hAnsi="Garamond"/>
          <w:b/>
          <w:sz w:val="24"/>
          <w:szCs w:val="24"/>
        </w:rPr>
      </w:pPr>
      <w:r w:rsidRPr="00A54FF1">
        <w:rPr>
          <w:rFonts w:ascii="Garamond" w:hAnsi="Garamond"/>
          <w:b/>
          <w:sz w:val="24"/>
          <w:szCs w:val="24"/>
        </w:rPr>
        <w:t>Channels</w:t>
      </w:r>
    </w:p>
    <w:p w:rsidR="00C86AA6" w:rsidRDefault="0098244D" w:rsidP="00A54FF1">
      <w:pPr>
        <w:spacing w:after="0" w:line="480" w:lineRule="auto"/>
        <w:ind w:firstLine="360"/>
        <w:rPr>
          <w:rFonts w:ascii="Garamond" w:hAnsi="Garamond"/>
          <w:sz w:val="24"/>
          <w:szCs w:val="24"/>
        </w:rPr>
      </w:pPr>
      <w:r>
        <w:rPr>
          <w:rFonts w:ascii="Garamond" w:hAnsi="Garamond"/>
          <w:sz w:val="24"/>
          <w:szCs w:val="24"/>
        </w:rPr>
        <w:t xml:space="preserve">There are two main channels through which the absence of men can impact women’s labor market outcomes.  The first is through marriage markets.  Given the absence of </w:t>
      </w:r>
      <w:r w:rsidR="00C86AA6">
        <w:rPr>
          <w:rFonts w:ascii="Garamond" w:hAnsi="Garamond"/>
          <w:sz w:val="24"/>
          <w:szCs w:val="24"/>
        </w:rPr>
        <w:t xml:space="preserve">potential mates, women are less likely to marry and have children and more likely to stay in school longer and enter the labor market.  Raphael (2013) directly examines the marriage market channel within the context of Mexico and finds that a decrease in the relative number of potential male spouses increases the percentage of women who never marry and do not have children.  </w:t>
      </w:r>
    </w:p>
    <w:p w:rsidR="00DC4FEF" w:rsidRPr="00DC4FEF" w:rsidRDefault="00C86AA6" w:rsidP="00A54FF1">
      <w:pPr>
        <w:spacing w:after="0" w:line="480" w:lineRule="auto"/>
        <w:ind w:firstLine="360"/>
        <w:rPr>
          <w:rFonts w:ascii="Garamond" w:hAnsi="Garamond"/>
          <w:sz w:val="24"/>
          <w:szCs w:val="24"/>
        </w:rPr>
      </w:pPr>
      <w:r>
        <w:rPr>
          <w:rFonts w:ascii="Garamond" w:hAnsi="Garamond"/>
          <w:sz w:val="24"/>
          <w:szCs w:val="24"/>
        </w:rPr>
        <w:t>We therefore estimate the IV and OLS models taking never marrying and no children as our outcome variables.  The results are</w:t>
      </w:r>
      <w:r w:rsidR="003B2534">
        <w:rPr>
          <w:rFonts w:ascii="Garamond" w:hAnsi="Garamond"/>
          <w:sz w:val="24"/>
          <w:szCs w:val="24"/>
        </w:rPr>
        <w:t xml:space="preserve"> shown in the last two rows of T</w:t>
      </w:r>
      <w:r w:rsidR="006E26F1">
        <w:rPr>
          <w:rFonts w:ascii="Garamond" w:hAnsi="Garamond"/>
          <w:sz w:val="24"/>
          <w:szCs w:val="24"/>
        </w:rPr>
        <w:t xml:space="preserve">able </w:t>
      </w:r>
      <w:r w:rsidR="00402AA7">
        <w:rPr>
          <w:rFonts w:ascii="Garamond" w:hAnsi="Garamond"/>
          <w:sz w:val="24"/>
          <w:szCs w:val="24"/>
        </w:rPr>
        <w:t>9</w:t>
      </w:r>
      <w:r>
        <w:rPr>
          <w:rFonts w:ascii="Garamond" w:hAnsi="Garamond"/>
          <w:sz w:val="24"/>
          <w:szCs w:val="24"/>
        </w:rPr>
        <w:t>.  Unlike Raphael</w:t>
      </w:r>
      <w:r w:rsidR="00D374CD">
        <w:rPr>
          <w:rFonts w:ascii="Garamond" w:hAnsi="Garamond"/>
          <w:sz w:val="24"/>
          <w:szCs w:val="24"/>
        </w:rPr>
        <w:t xml:space="preserve"> (2013)</w:t>
      </w:r>
      <w:r>
        <w:rPr>
          <w:rFonts w:ascii="Garamond" w:hAnsi="Garamond"/>
          <w:sz w:val="24"/>
          <w:szCs w:val="24"/>
        </w:rPr>
        <w:t>, we find no significant effects of a decline in the relative number of men on the likelihood t</w:t>
      </w:r>
      <w:r>
        <w:rPr>
          <w:rFonts w:ascii="Garamond" w:hAnsi="Garamond"/>
          <w:sz w:val="24"/>
          <w:szCs w:val="24"/>
        </w:rPr>
        <w:t xml:space="preserve">hat </w:t>
      </w:r>
      <w:r>
        <w:rPr>
          <w:rFonts w:ascii="Garamond" w:hAnsi="Garamond"/>
          <w:sz w:val="24"/>
          <w:szCs w:val="24"/>
        </w:rPr>
        <w:lastRenderedPageBreak/>
        <w:t>women marry.  Three of the four coefficients are positive, which suggest that a decrease in the number of men reduces the chance of never marrying (increases the change of marriage), but none are significant.  For children, however, we find results that are similar to those of Raphael</w:t>
      </w:r>
      <w:r w:rsidR="00D374CD">
        <w:rPr>
          <w:rFonts w:ascii="Garamond" w:hAnsi="Garamond"/>
          <w:sz w:val="24"/>
          <w:szCs w:val="24"/>
        </w:rPr>
        <w:t xml:space="preserve"> (2013)</w:t>
      </w:r>
      <w:r>
        <w:rPr>
          <w:rFonts w:ascii="Garamond" w:hAnsi="Garamond"/>
          <w:sz w:val="24"/>
          <w:szCs w:val="24"/>
        </w:rPr>
        <w:t xml:space="preserve">.  The IV estimates show that a decrease in the relative number of men increases the probability that a woman does not have children.  The differences in the results can be explained by the approach, as Raphael </w:t>
      </w:r>
      <w:r w:rsidR="00D374CD">
        <w:rPr>
          <w:rFonts w:ascii="Garamond" w:hAnsi="Garamond"/>
          <w:sz w:val="24"/>
          <w:szCs w:val="24"/>
        </w:rPr>
        <w:t xml:space="preserve">(2013) </w:t>
      </w:r>
      <w:r>
        <w:rPr>
          <w:rFonts w:ascii="Garamond" w:hAnsi="Garamond"/>
          <w:sz w:val="24"/>
          <w:szCs w:val="24"/>
        </w:rPr>
        <w:t>focuses on marriage markets and therefore constructs a sex ratio that considers the potential pool of male mates for women in an existing age cohort.  Our sex ratio</w:t>
      </w:r>
      <w:r w:rsidR="00AC68FE">
        <w:rPr>
          <w:rFonts w:ascii="Garamond" w:hAnsi="Garamond"/>
          <w:sz w:val="24"/>
          <w:szCs w:val="24"/>
        </w:rPr>
        <w:t xml:space="preserve"> instead, matches</w:t>
      </w:r>
      <w:r>
        <w:rPr>
          <w:rFonts w:ascii="Garamond" w:hAnsi="Garamond"/>
          <w:sz w:val="24"/>
          <w:szCs w:val="24"/>
        </w:rPr>
        <w:t xml:space="preserve"> women to men in the same age cohort</w:t>
      </w:r>
      <w:r w:rsidR="00D374CD">
        <w:rPr>
          <w:rFonts w:ascii="Garamond" w:hAnsi="Garamond"/>
          <w:sz w:val="24"/>
          <w:szCs w:val="24"/>
        </w:rPr>
        <w:t>. This is driven by the notion that we consider the labor market outcomes as main interest and the channel may or may not be through marriage market and an age specific marriage pool of men</w:t>
      </w:r>
      <w:r>
        <w:rPr>
          <w:rFonts w:ascii="Garamond" w:hAnsi="Garamond"/>
          <w:sz w:val="24"/>
          <w:szCs w:val="24"/>
        </w:rPr>
        <w:t xml:space="preserve">. </w:t>
      </w:r>
      <w:r w:rsidR="00F03AC0">
        <w:rPr>
          <w:rFonts w:ascii="Garamond" w:hAnsi="Garamond"/>
          <w:sz w:val="24"/>
          <w:szCs w:val="24"/>
        </w:rPr>
        <w:t xml:space="preserve"> </w:t>
      </w:r>
    </w:p>
    <w:p w:rsidR="00A342B6" w:rsidRDefault="00F03AC0" w:rsidP="00C86AA6">
      <w:pPr>
        <w:spacing w:after="0" w:line="480" w:lineRule="auto"/>
        <w:ind w:firstLine="360"/>
        <w:rPr>
          <w:rFonts w:ascii="Garamond" w:hAnsi="Garamond"/>
          <w:sz w:val="24"/>
          <w:szCs w:val="24"/>
        </w:rPr>
      </w:pPr>
      <w:r>
        <w:rPr>
          <w:rFonts w:ascii="Garamond" w:hAnsi="Garamond"/>
          <w:sz w:val="24"/>
          <w:szCs w:val="24"/>
        </w:rPr>
        <w:t>The</w:t>
      </w:r>
      <w:r w:rsidR="00C86AA6">
        <w:rPr>
          <w:rFonts w:ascii="Garamond" w:hAnsi="Garamond"/>
          <w:sz w:val="24"/>
          <w:szCs w:val="24"/>
        </w:rPr>
        <w:t xml:space="preserve"> second channel</w:t>
      </w:r>
      <w:r>
        <w:rPr>
          <w:rFonts w:ascii="Garamond" w:hAnsi="Garamond"/>
          <w:sz w:val="24"/>
          <w:szCs w:val="24"/>
        </w:rPr>
        <w:t xml:space="preserve"> through which</w:t>
      </w:r>
      <w:r w:rsidR="00C86AA6">
        <w:rPr>
          <w:rFonts w:ascii="Garamond" w:hAnsi="Garamond"/>
          <w:sz w:val="24"/>
          <w:szCs w:val="24"/>
        </w:rPr>
        <w:t xml:space="preserve"> </w:t>
      </w:r>
      <w:r>
        <w:rPr>
          <w:rFonts w:ascii="Garamond" w:hAnsi="Garamond"/>
          <w:sz w:val="24"/>
          <w:szCs w:val="24"/>
        </w:rPr>
        <w:t xml:space="preserve">sex ratios may impact labor force outcomes </w:t>
      </w:r>
      <w:r w:rsidR="00C86AA6">
        <w:rPr>
          <w:rFonts w:ascii="Garamond" w:hAnsi="Garamond"/>
          <w:sz w:val="24"/>
          <w:szCs w:val="24"/>
        </w:rPr>
        <w:t xml:space="preserve">is human capital accumulation.  </w:t>
      </w:r>
      <w:r>
        <w:rPr>
          <w:rFonts w:ascii="Garamond" w:hAnsi="Garamond"/>
          <w:sz w:val="24"/>
          <w:szCs w:val="24"/>
        </w:rPr>
        <w:t xml:space="preserve">As a </w:t>
      </w:r>
      <w:r w:rsidRPr="003B2534">
        <w:rPr>
          <w:rFonts w:ascii="Garamond" w:hAnsi="Garamond"/>
          <w:sz w:val="24"/>
          <w:szCs w:val="24"/>
        </w:rPr>
        <w:t xml:space="preserve">result </w:t>
      </w:r>
      <w:r w:rsidR="00484DC1" w:rsidRPr="003B2534">
        <w:rPr>
          <w:rFonts w:ascii="Garamond" w:hAnsi="Garamond"/>
          <w:sz w:val="24"/>
          <w:szCs w:val="24"/>
        </w:rPr>
        <w:t xml:space="preserve">of there being </w:t>
      </w:r>
      <w:r w:rsidRPr="003B2534">
        <w:rPr>
          <w:rFonts w:ascii="Garamond" w:hAnsi="Garamond"/>
          <w:sz w:val="24"/>
          <w:szCs w:val="24"/>
        </w:rPr>
        <w:t>fewer men</w:t>
      </w:r>
      <w:r>
        <w:rPr>
          <w:rFonts w:ascii="Garamond" w:hAnsi="Garamond"/>
          <w:sz w:val="24"/>
          <w:szCs w:val="24"/>
        </w:rPr>
        <w:t xml:space="preserve">, women may acquire more education.  This may be due to fewer marriage market opportunities, an increase in the availability of education resources (due to less competitive from men), or an increase in the availability of high skill jobs, due to an absence of male candidates.  We therefore investigate two human capital accumulation outcomes: </w:t>
      </w:r>
      <w:bookmarkStart w:id="0" w:name="_GoBack"/>
      <w:bookmarkEnd w:id="0"/>
      <w:r>
        <w:rPr>
          <w:rFonts w:ascii="Garamond" w:hAnsi="Garamond"/>
          <w:sz w:val="24"/>
          <w:szCs w:val="24"/>
        </w:rPr>
        <w:t>total years of schooling and whether or not a woman went to college.  The results,</w:t>
      </w:r>
      <w:r w:rsidR="004A23FD">
        <w:rPr>
          <w:rFonts w:ascii="Garamond" w:hAnsi="Garamond"/>
          <w:sz w:val="24"/>
          <w:szCs w:val="24"/>
        </w:rPr>
        <w:t xml:space="preserve"> shown in </w:t>
      </w:r>
      <w:r w:rsidR="00C86AA6">
        <w:rPr>
          <w:rFonts w:ascii="Garamond" w:hAnsi="Garamond"/>
          <w:sz w:val="24"/>
          <w:szCs w:val="24"/>
        </w:rPr>
        <w:t xml:space="preserve">the first two rows of </w:t>
      </w:r>
      <w:r w:rsidR="003B2534">
        <w:rPr>
          <w:rFonts w:ascii="Garamond" w:hAnsi="Garamond"/>
          <w:sz w:val="24"/>
          <w:szCs w:val="24"/>
        </w:rPr>
        <w:t>Table</w:t>
      </w:r>
      <w:r w:rsidR="006E26F1">
        <w:rPr>
          <w:rFonts w:ascii="Garamond" w:hAnsi="Garamond"/>
          <w:sz w:val="24"/>
          <w:szCs w:val="24"/>
        </w:rPr>
        <w:t xml:space="preserve"> </w:t>
      </w:r>
      <w:r w:rsidR="009C25D4">
        <w:rPr>
          <w:rFonts w:ascii="Garamond" w:hAnsi="Garamond"/>
          <w:sz w:val="24"/>
          <w:szCs w:val="24"/>
        </w:rPr>
        <w:t>9</w:t>
      </w:r>
      <w:r>
        <w:rPr>
          <w:rFonts w:ascii="Garamond" w:hAnsi="Garamond"/>
          <w:sz w:val="24"/>
          <w:szCs w:val="24"/>
        </w:rPr>
        <w:t>, show a clear relationship and much stronger relationship between education and sex ratios.  For years of education, the IV results show that a decline in the sex ratio of 0.1 leads to an increase in education of 1.1 to 1.7 years.  Given that average years</w:t>
      </w:r>
      <w:r w:rsidR="00A21341">
        <w:rPr>
          <w:rFonts w:ascii="Garamond" w:hAnsi="Garamond"/>
          <w:sz w:val="24"/>
          <w:szCs w:val="24"/>
        </w:rPr>
        <w:t xml:space="preserve"> of education for women are 5.7</w:t>
      </w:r>
      <w:r>
        <w:rPr>
          <w:rFonts w:ascii="Garamond" w:hAnsi="Garamond"/>
          <w:sz w:val="24"/>
          <w:szCs w:val="24"/>
        </w:rPr>
        <w:t xml:space="preserve"> this constitutes </w:t>
      </w:r>
      <w:r w:rsidR="003B2534">
        <w:rPr>
          <w:rFonts w:ascii="Garamond" w:hAnsi="Garamond"/>
          <w:sz w:val="24"/>
          <w:szCs w:val="24"/>
        </w:rPr>
        <w:t>an</w:t>
      </w:r>
      <w:r>
        <w:rPr>
          <w:rFonts w:ascii="Garamond" w:hAnsi="Garamond"/>
          <w:sz w:val="24"/>
          <w:szCs w:val="24"/>
        </w:rPr>
        <w:t xml:space="preserve"> increase</w:t>
      </w:r>
      <w:r w:rsidR="003B2534">
        <w:rPr>
          <w:rFonts w:ascii="Garamond" w:hAnsi="Garamond"/>
          <w:sz w:val="24"/>
          <w:szCs w:val="24"/>
        </w:rPr>
        <w:t xml:space="preserve"> of 20% to</w:t>
      </w:r>
      <w:r w:rsidR="00916518">
        <w:rPr>
          <w:rFonts w:ascii="Garamond" w:hAnsi="Garamond"/>
          <w:sz w:val="24"/>
          <w:szCs w:val="24"/>
        </w:rPr>
        <w:t xml:space="preserve"> </w:t>
      </w:r>
      <w:r w:rsidR="003B2534">
        <w:rPr>
          <w:rFonts w:ascii="Garamond" w:hAnsi="Garamond"/>
          <w:sz w:val="24"/>
          <w:szCs w:val="24"/>
        </w:rPr>
        <w:t>30%</w:t>
      </w:r>
      <w:r>
        <w:rPr>
          <w:rFonts w:ascii="Garamond" w:hAnsi="Garamond"/>
          <w:sz w:val="24"/>
          <w:szCs w:val="24"/>
        </w:rPr>
        <w:t xml:space="preserve">.  The results also show that women in areas with a lower relative number of men are more likely to accumulate a higher level of human capital by going to college.  According to the IV results, a decline in the sex ratio of 0.1 leads to an increase in the </w:t>
      </w:r>
      <w:r>
        <w:rPr>
          <w:rFonts w:ascii="Garamond" w:hAnsi="Garamond"/>
          <w:sz w:val="24"/>
          <w:szCs w:val="24"/>
        </w:rPr>
        <w:lastRenderedPageBreak/>
        <w:t xml:space="preserve">percentage of women in a cohort who go to college between 0.8 and 2.3%.  Average college rates are 4.5% in the sample, highlighting this as a significant change.  </w:t>
      </w:r>
    </w:p>
    <w:p w:rsidR="00943D32" w:rsidRDefault="00A342B6" w:rsidP="00C86AA6">
      <w:pPr>
        <w:spacing w:after="0" w:line="480" w:lineRule="auto"/>
        <w:ind w:firstLine="360"/>
        <w:rPr>
          <w:rFonts w:ascii="Garamond" w:hAnsi="Garamond"/>
          <w:sz w:val="24"/>
          <w:szCs w:val="24"/>
        </w:rPr>
      </w:pPr>
      <w:r>
        <w:rPr>
          <w:rFonts w:ascii="Garamond" w:hAnsi="Garamond"/>
          <w:sz w:val="24"/>
          <w:szCs w:val="24"/>
        </w:rPr>
        <w:t xml:space="preserve">These results indicate that the human capital channel is stronger than the marriage market channel, and that a key factor that pushes women into higher skill jobs in the absence of men is increased education.  Higher college attendance rates, in particular, can explain why more women move into white collar and brain jobs.  </w:t>
      </w:r>
      <w:r w:rsidR="00943D32">
        <w:rPr>
          <w:rFonts w:ascii="Garamond" w:hAnsi="Garamond"/>
          <w:sz w:val="24"/>
          <w:szCs w:val="24"/>
        </w:rPr>
        <w:t xml:space="preserve">  </w:t>
      </w:r>
    </w:p>
    <w:p w:rsidR="009C2979" w:rsidRDefault="009C2979" w:rsidP="00B07372">
      <w:pPr>
        <w:spacing w:after="0" w:line="480" w:lineRule="auto"/>
        <w:ind w:left="360"/>
        <w:rPr>
          <w:rFonts w:ascii="Garamond" w:hAnsi="Garamond"/>
          <w:sz w:val="24"/>
          <w:szCs w:val="24"/>
        </w:rPr>
      </w:pPr>
    </w:p>
    <w:p w:rsidR="001C1F78" w:rsidRPr="00A54FF1" w:rsidRDefault="0090060A" w:rsidP="001C1F78">
      <w:pPr>
        <w:numPr>
          <w:ilvl w:val="0"/>
          <w:numId w:val="1"/>
        </w:numPr>
        <w:spacing w:after="0" w:line="480" w:lineRule="auto"/>
        <w:rPr>
          <w:rFonts w:ascii="Garamond" w:hAnsi="Garamond"/>
          <w:b/>
          <w:sz w:val="24"/>
          <w:szCs w:val="24"/>
        </w:rPr>
      </w:pPr>
      <w:r>
        <w:rPr>
          <w:rFonts w:ascii="Garamond" w:hAnsi="Garamond"/>
          <w:b/>
          <w:sz w:val="24"/>
          <w:szCs w:val="24"/>
        </w:rPr>
        <w:t>Conclusion</w:t>
      </w:r>
    </w:p>
    <w:p w:rsidR="001C1F78" w:rsidRDefault="00132AD6" w:rsidP="000C7034">
      <w:pPr>
        <w:spacing w:after="0" w:line="480" w:lineRule="auto"/>
        <w:ind w:firstLine="360"/>
        <w:rPr>
          <w:rFonts w:ascii="Garamond" w:hAnsi="Garamond"/>
          <w:sz w:val="24"/>
          <w:szCs w:val="24"/>
        </w:rPr>
      </w:pPr>
      <w:r w:rsidRPr="003B2534">
        <w:rPr>
          <w:rFonts w:ascii="Garamond" w:hAnsi="Garamond"/>
          <w:sz w:val="24"/>
          <w:szCs w:val="24"/>
        </w:rPr>
        <w:t>In this pa</w:t>
      </w:r>
      <w:r w:rsidR="005564DC" w:rsidRPr="003B2534">
        <w:rPr>
          <w:rFonts w:ascii="Garamond" w:hAnsi="Garamond"/>
          <w:sz w:val="24"/>
          <w:szCs w:val="24"/>
        </w:rPr>
        <w:t>per we explore the impact of</w:t>
      </w:r>
      <w:r w:rsidR="00155B4F" w:rsidRPr="003B2534">
        <w:rPr>
          <w:rFonts w:ascii="Garamond" w:hAnsi="Garamond"/>
          <w:sz w:val="24"/>
          <w:szCs w:val="24"/>
        </w:rPr>
        <w:t xml:space="preserve"> “missing men” on </w:t>
      </w:r>
      <w:r w:rsidRPr="003B2534">
        <w:rPr>
          <w:rFonts w:ascii="Garamond" w:hAnsi="Garamond"/>
          <w:sz w:val="24"/>
          <w:szCs w:val="24"/>
        </w:rPr>
        <w:t>the labor market outcomes of working age women</w:t>
      </w:r>
      <w:r w:rsidR="00155B4F" w:rsidRPr="003B2534">
        <w:rPr>
          <w:rFonts w:ascii="Garamond" w:hAnsi="Garamond"/>
          <w:sz w:val="24"/>
          <w:szCs w:val="24"/>
        </w:rPr>
        <w:t xml:space="preserve"> in Mexico</w:t>
      </w:r>
      <w:r w:rsidRPr="003B2534">
        <w:rPr>
          <w:rFonts w:ascii="Garamond" w:hAnsi="Garamond"/>
          <w:sz w:val="24"/>
          <w:szCs w:val="24"/>
        </w:rPr>
        <w:t xml:space="preserve">.  </w:t>
      </w:r>
      <w:r w:rsidR="00155B4F" w:rsidRPr="003B2534">
        <w:rPr>
          <w:rFonts w:ascii="Garamond" w:hAnsi="Garamond"/>
          <w:sz w:val="24"/>
          <w:szCs w:val="24"/>
        </w:rPr>
        <w:t xml:space="preserve">Mexico provides a unique case </w:t>
      </w:r>
      <w:r w:rsidR="00484DC1" w:rsidRPr="003B2534">
        <w:rPr>
          <w:rFonts w:ascii="Garamond" w:hAnsi="Garamond"/>
          <w:sz w:val="24"/>
          <w:szCs w:val="24"/>
        </w:rPr>
        <w:t xml:space="preserve">because it is a </w:t>
      </w:r>
      <w:r w:rsidR="00155B4F" w:rsidRPr="003B2534">
        <w:rPr>
          <w:rFonts w:ascii="Garamond" w:hAnsi="Garamond"/>
          <w:sz w:val="24"/>
          <w:szCs w:val="24"/>
        </w:rPr>
        <w:t xml:space="preserve">developing country that experienced dramatic changes in the relative ratio of men to women due to </w:t>
      </w:r>
      <w:r w:rsidR="00484DC1" w:rsidRPr="003B2534">
        <w:rPr>
          <w:rFonts w:ascii="Garamond" w:hAnsi="Garamond"/>
          <w:sz w:val="24"/>
          <w:szCs w:val="24"/>
        </w:rPr>
        <w:t xml:space="preserve">the </w:t>
      </w:r>
      <w:r w:rsidR="00155B4F" w:rsidRPr="003B2534">
        <w:rPr>
          <w:rFonts w:ascii="Garamond" w:hAnsi="Garamond"/>
          <w:sz w:val="24"/>
          <w:szCs w:val="24"/>
        </w:rPr>
        <w:t>international migration</w:t>
      </w:r>
      <w:r w:rsidR="00484DC1" w:rsidRPr="003B2534">
        <w:rPr>
          <w:rFonts w:ascii="Garamond" w:hAnsi="Garamond"/>
          <w:sz w:val="24"/>
          <w:szCs w:val="24"/>
        </w:rPr>
        <w:t xml:space="preserve"> of men</w:t>
      </w:r>
      <w:r w:rsidR="00155B4F" w:rsidRPr="003B2534">
        <w:rPr>
          <w:rFonts w:ascii="Garamond" w:hAnsi="Garamond"/>
          <w:sz w:val="24"/>
          <w:szCs w:val="24"/>
        </w:rPr>
        <w:t xml:space="preserve">.  The absence of potential employees and of potential mates may have changed the labor market opportunities of women.  Using a model which instruments for the sex ratio </w:t>
      </w:r>
      <w:r w:rsidR="00DD099B" w:rsidRPr="003B2534">
        <w:rPr>
          <w:rFonts w:ascii="Garamond" w:hAnsi="Garamond"/>
          <w:sz w:val="24"/>
          <w:szCs w:val="24"/>
        </w:rPr>
        <w:t xml:space="preserve">and </w:t>
      </w:r>
      <w:r w:rsidR="00155B4F" w:rsidRPr="003B2534">
        <w:rPr>
          <w:rFonts w:ascii="Garamond" w:hAnsi="Garamond"/>
          <w:sz w:val="24"/>
          <w:szCs w:val="24"/>
        </w:rPr>
        <w:t xml:space="preserve">predicted migration stemming from U.S. demand we find that declines in the sex ratio have large effects on the labor market outcomes of women. </w:t>
      </w:r>
      <w:r w:rsidR="00C06587" w:rsidRPr="003B2534">
        <w:rPr>
          <w:rFonts w:ascii="Garamond" w:hAnsi="Garamond"/>
          <w:sz w:val="24"/>
          <w:szCs w:val="24"/>
        </w:rPr>
        <w:t>We employ</w:t>
      </w:r>
      <w:r w:rsidR="00E47C9A">
        <w:rPr>
          <w:rFonts w:ascii="Garamond" w:hAnsi="Garamond"/>
          <w:sz w:val="24"/>
          <w:szCs w:val="24"/>
        </w:rPr>
        <w:t xml:space="preserve"> three</w:t>
      </w:r>
      <w:r w:rsidR="00C06587" w:rsidRPr="003B2534">
        <w:rPr>
          <w:rFonts w:ascii="Garamond" w:hAnsi="Garamond"/>
          <w:sz w:val="24"/>
          <w:szCs w:val="24"/>
        </w:rPr>
        <w:t xml:space="preserve"> different data sources for our instrumental variable strategy and find the results to be consistent across them. </w:t>
      </w:r>
      <w:r w:rsidR="00155B4F" w:rsidRPr="003B2534">
        <w:rPr>
          <w:rFonts w:ascii="Garamond" w:hAnsi="Garamond"/>
          <w:sz w:val="24"/>
          <w:szCs w:val="24"/>
        </w:rPr>
        <w:t xml:space="preserve">Not only are </w:t>
      </w:r>
      <w:r w:rsidR="00DD099B" w:rsidRPr="003B2534">
        <w:rPr>
          <w:rFonts w:ascii="Garamond" w:hAnsi="Garamond"/>
          <w:sz w:val="24"/>
          <w:szCs w:val="24"/>
        </w:rPr>
        <w:t xml:space="preserve">these </w:t>
      </w:r>
      <w:r w:rsidR="00155B4F" w:rsidRPr="003B2534">
        <w:rPr>
          <w:rFonts w:ascii="Garamond" w:hAnsi="Garamond"/>
          <w:sz w:val="24"/>
          <w:szCs w:val="24"/>
        </w:rPr>
        <w:t>women more likely to enter the labor force, they are more likely to have higher skilled jobs.  We also find that increased educational attainment may explain this result, as women who face lower relative number of men have more education and are more likely to attend college.</w:t>
      </w:r>
      <w:r w:rsidR="00155B4F">
        <w:rPr>
          <w:rFonts w:ascii="Garamond" w:hAnsi="Garamond"/>
          <w:sz w:val="24"/>
          <w:szCs w:val="24"/>
        </w:rPr>
        <w:t xml:space="preserve">  </w:t>
      </w:r>
    </w:p>
    <w:p w:rsidR="00DD32CB" w:rsidRPr="001E7161" w:rsidRDefault="001E7161" w:rsidP="005A3276">
      <w:pPr>
        <w:spacing w:after="0" w:line="480" w:lineRule="auto"/>
        <w:rPr>
          <w:rFonts w:ascii="Garamond" w:hAnsi="Garamond"/>
          <w:b/>
          <w:sz w:val="24"/>
          <w:szCs w:val="24"/>
          <w:lang w:val="es-CO"/>
        </w:rPr>
      </w:pPr>
      <w:r w:rsidRPr="00677B18">
        <w:rPr>
          <w:rFonts w:ascii="Garamond" w:hAnsi="Garamond"/>
          <w:b/>
          <w:sz w:val="24"/>
          <w:szCs w:val="24"/>
          <w:lang w:val="es-CO"/>
        </w:rPr>
        <w:br w:type="page"/>
      </w:r>
      <w:proofErr w:type="spellStart"/>
      <w:r w:rsidR="00DD32CB" w:rsidRPr="001E7161">
        <w:rPr>
          <w:rFonts w:ascii="Garamond" w:hAnsi="Garamond"/>
          <w:b/>
          <w:sz w:val="24"/>
          <w:szCs w:val="24"/>
          <w:lang w:val="es-CO"/>
        </w:rPr>
        <w:lastRenderedPageBreak/>
        <w:t>References</w:t>
      </w:r>
      <w:proofErr w:type="spellEnd"/>
    </w:p>
    <w:p w:rsidR="00DD32CB" w:rsidRPr="00DD32CB" w:rsidRDefault="00DD32CB" w:rsidP="001E7161">
      <w:pPr>
        <w:spacing w:after="0" w:line="240" w:lineRule="auto"/>
        <w:rPr>
          <w:rFonts w:ascii="Garamond" w:hAnsi="Garamond"/>
          <w:sz w:val="24"/>
          <w:szCs w:val="24"/>
        </w:rPr>
      </w:pPr>
      <w:proofErr w:type="spellStart"/>
      <w:r w:rsidRPr="007A79C9">
        <w:rPr>
          <w:rFonts w:ascii="Garamond" w:hAnsi="Garamond"/>
          <w:sz w:val="24"/>
          <w:szCs w:val="24"/>
          <w:lang w:val="es-CO"/>
        </w:rPr>
        <w:t>Abramitzky</w:t>
      </w:r>
      <w:proofErr w:type="spellEnd"/>
      <w:r w:rsidRPr="007A79C9">
        <w:rPr>
          <w:rFonts w:ascii="Garamond" w:hAnsi="Garamond"/>
          <w:sz w:val="24"/>
          <w:szCs w:val="24"/>
          <w:lang w:val="es-CO"/>
        </w:rPr>
        <w:t xml:space="preserve">, </w:t>
      </w:r>
      <w:proofErr w:type="spellStart"/>
      <w:r w:rsidRPr="007A79C9">
        <w:rPr>
          <w:rFonts w:ascii="Garamond" w:hAnsi="Garamond"/>
          <w:sz w:val="24"/>
          <w:szCs w:val="24"/>
          <w:lang w:val="es-CO"/>
        </w:rPr>
        <w:t>Ran</w:t>
      </w:r>
      <w:proofErr w:type="spellEnd"/>
      <w:r w:rsidRPr="007A79C9">
        <w:rPr>
          <w:rFonts w:ascii="Garamond" w:hAnsi="Garamond"/>
          <w:sz w:val="24"/>
          <w:szCs w:val="24"/>
          <w:lang w:val="es-CO"/>
        </w:rPr>
        <w:t xml:space="preserve">, </w:t>
      </w:r>
      <w:proofErr w:type="spellStart"/>
      <w:r w:rsidRPr="007A79C9">
        <w:rPr>
          <w:rFonts w:ascii="Garamond" w:hAnsi="Garamond"/>
          <w:sz w:val="24"/>
          <w:szCs w:val="24"/>
          <w:lang w:val="es-CO"/>
        </w:rPr>
        <w:t>Delavande</w:t>
      </w:r>
      <w:proofErr w:type="spellEnd"/>
      <w:r w:rsidRPr="007A79C9">
        <w:rPr>
          <w:rFonts w:ascii="Garamond" w:hAnsi="Garamond"/>
          <w:sz w:val="24"/>
          <w:szCs w:val="24"/>
          <w:lang w:val="es-CO"/>
        </w:rPr>
        <w:t xml:space="preserve">, </w:t>
      </w:r>
      <w:proofErr w:type="spellStart"/>
      <w:r w:rsidRPr="007A79C9">
        <w:rPr>
          <w:rFonts w:ascii="Garamond" w:hAnsi="Garamond"/>
          <w:sz w:val="24"/>
          <w:szCs w:val="24"/>
          <w:lang w:val="es-CO"/>
        </w:rPr>
        <w:t>Adeline</w:t>
      </w:r>
      <w:proofErr w:type="spellEnd"/>
      <w:r w:rsidRPr="007A79C9">
        <w:rPr>
          <w:rFonts w:ascii="Garamond" w:hAnsi="Garamond"/>
          <w:sz w:val="24"/>
          <w:szCs w:val="24"/>
          <w:lang w:val="es-CO"/>
        </w:rPr>
        <w:t xml:space="preserve"> and Luis Vasconcelos. </w:t>
      </w:r>
      <w:r w:rsidR="001E7161">
        <w:rPr>
          <w:rFonts w:ascii="Garamond" w:hAnsi="Garamond"/>
          <w:sz w:val="24"/>
          <w:szCs w:val="24"/>
        </w:rPr>
        <w:t>2011.</w:t>
      </w:r>
      <w:r w:rsidRPr="00DD32CB">
        <w:rPr>
          <w:rFonts w:ascii="Garamond" w:hAnsi="Garamond"/>
          <w:sz w:val="24"/>
          <w:szCs w:val="24"/>
        </w:rPr>
        <w:t xml:space="preserve"> "Marrying up: </w:t>
      </w:r>
      <w:r w:rsidR="00591152">
        <w:rPr>
          <w:rFonts w:ascii="Garamond" w:hAnsi="Garamond"/>
          <w:sz w:val="24"/>
          <w:szCs w:val="24"/>
        </w:rPr>
        <w:t xml:space="preserve">The role of sex ratio in </w:t>
      </w:r>
      <w:proofErr w:type="spellStart"/>
      <w:r w:rsidR="00591152">
        <w:rPr>
          <w:rFonts w:ascii="Garamond" w:hAnsi="Garamond"/>
          <w:sz w:val="24"/>
          <w:szCs w:val="24"/>
        </w:rPr>
        <w:t>assorta</w:t>
      </w:r>
      <w:r w:rsidRPr="00DD32CB">
        <w:rPr>
          <w:rFonts w:ascii="Garamond" w:hAnsi="Garamond"/>
          <w:sz w:val="24"/>
          <w:szCs w:val="24"/>
        </w:rPr>
        <w:t>tive</w:t>
      </w:r>
      <w:proofErr w:type="spellEnd"/>
      <w:r w:rsidRPr="00DD32CB">
        <w:rPr>
          <w:rFonts w:ascii="Garamond" w:hAnsi="Garamond"/>
          <w:sz w:val="24"/>
          <w:szCs w:val="24"/>
        </w:rPr>
        <w:t xml:space="preserve"> mating." </w:t>
      </w:r>
      <w:r w:rsidRPr="001E7161">
        <w:rPr>
          <w:rFonts w:ascii="Garamond" w:hAnsi="Garamond"/>
          <w:i/>
          <w:sz w:val="24"/>
          <w:szCs w:val="24"/>
        </w:rPr>
        <w:t>American Econ</w:t>
      </w:r>
      <w:r w:rsidR="001E7161" w:rsidRPr="001E7161">
        <w:rPr>
          <w:rFonts w:ascii="Garamond" w:hAnsi="Garamond"/>
          <w:i/>
          <w:sz w:val="24"/>
          <w:szCs w:val="24"/>
        </w:rPr>
        <w:t>omic Journal: Applied Economics</w:t>
      </w:r>
      <w:r w:rsidRPr="00DD32CB">
        <w:rPr>
          <w:rFonts w:ascii="Garamond" w:hAnsi="Garamond"/>
          <w:sz w:val="24"/>
          <w:szCs w:val="24"/>
        </w:rPr>
        <w:t>, 3:124-157.</w:t>
      </w:r>
    </w:p>
    <w:p w:rsidR="00DD32CB" w:rsidRPr="00DD32CB" w:rsidRDefault="00DD32CB" w:rsidP="001E7161">
      <w:pPr>
        <w:spacing w:after="0" w:line="240" w:lineRule="auto"/>
        <w:rPr>
          <w:rFonts w:ascii="Garamond" w:hAnsi="Garamond"/>
          <w:sz w:val="24"/>
          <w:szCs w:val="24"/>
        </w:rPr>
      </w:pPr>
    </w:p>
    <w:p w:rsidR="00DD32CB" w:rsidRDefault="00DD32CB" w:rsidP="001E7161">
      <w:pPr>
        <w:spacing w:after="0" w:line="240" w:lineRule="auto"/>
        <w:rPr>
          <w:rFonts w:ascii="Garamond" w:hAnsi="Garamond"/>
          <w:sz w:val="24"/>
          <w:szCs w:val="24"/>
        </w:rPr>
      </w:pPr>
      <w:proofErr w:type="spellStart"/>
      <w:proofErr w:type="gramStart"/>
      <w:r w:rsidRPr="00DD32CB">
        <w:rPr>
          <w:rFonts w:ascii="Garamond" w:hAnsi="Garamond"/>
          <w:sz w:val="24"/>
          <w:szCs w:val="24"/>
        </w:rPr>
        <w:t>Acemoglu</w:t>
      </w:r>
      <w:proofErr w:type="spellEnd"/>
      <w:r w:rsidRPr="00DD32CB">
        <w:rPr>
          <w:rFonts w:ascii="Garamond" w:hAnsi="Garamond"/>
          <w:sz w:val="24"/>
          <w:szCs w:val="24"/>
        </w:rPr>
        <w:t xml:space="preserve">, Daron, David </w:t>
      </w:r>
      <w:r w:rsidR="001E7161">
        <w:rPr>
          <w:rFonts w:ascii="Garamond" w:hAnsi="Garamond"/>
          <w:sz w:val="24"/>
          <w:szCs w:val="24"/>
        </w:rPr>
        <w:t xml:space="preserve">H. </w:t>
      </w:r>
      <w:proofErr w:type="spellStart"/>
      <w:r w:rsidR="001E7161">
        <w:rPr>
          <w:rFonts w:ascii="Garamond" w:hAnsi="Garamond"/>
          <w:sz w:val="24"/>
          <w:szCs w:val="24"/>
        </w:rPr>
        <w:t>Autor</w:t>
      </w:r>
      <w:proofErr w:type="spellEnd"/>
      <w:r w:rsidR="001E7161">
        <w:rPr>
          <w:rFonts w:ascii="Garamond" w:hAnsi="Garamond"/>
          <w:sz w:val="24"/>
          <w:szCs w:val="24"/>
        </w:rPr>
        <w:t xml:space="preserve"> and David Lyle.</w:t>
      </w:r>
      <w:proofErr w:type="gramEnd"/>
      <w:r w:rsidR="001E7161">
        <w:rPr>
          <w:rFonts w:ascii="Garamond" w:hAnsi="Garamond"/>
          <w:sz w:val="24"/>
          <w:szCs w:val="24"/>
        </w:rPr>
        <w:t xml:space="preserve"> 2004.</w:t>
      </w:r>
      <w:r w:rsidRPr="00DD32CB">
        <w:rPr>
          <w:rFonts w:ascii="Garamond" w:hAnsi="Garamond"/>
          <w:sz w:val="24"/>
          <w:szCs w:val="24"/>
        </w:rPr>
        <w:t xml:space="preserve"> "Women, War, and Wages: The Effect of Female Labor Supply on the Wage Structure at Midcentury</w:t>
      </w:r>
      <w:r w:rsidRPr="001E7161">
        <w:rPr>
          <w:rFonts w:ascii="Garamond" w:hAnsi="Garamond"/>
          <w:sz w:val="24"/>
          <w:szCs w:val="24"/>
        </w:rPr>
        <w:t>."</w:t>
      </w:r>
      <w:r w:rsidRPr="001E7161">
        <w:rPr>
          <w:rFonts w:ascii="Garamond" w:hAnsi="Garamond"/>
          <w:i/>
          <w:sz w:val="24"/>
          <w:szCs w:val="24"/>
        </w:rPr>
        <w:t xml:space="preserve"> </w:t>
      </w:r>
      <w:r w:rsidR="001E7161" w:rsidRPr="001E7161">
        <w:rPr>
          <w:rFonts w:ascii="Garamond" w:hAnsi="Garamond"/>
          <w:i/>
          <w:sz w:val="24"/>
          <w:szCs w:val="24"/>
        </w:rPr>
        <w:t>Journal of Political Economy</w:t>
      </w:r>
      <w:r w:rsidRPr="00DD32CB">
        <w:rPr>
          <w:rFonts w:ascii="Garamond" w:hAnsi="Garamond"/>
          <w:sz w:val="24"/>
          <w:szCs w:val="24"/>
        </w:rPr>
        <w:t>, 112(3): 497-551.</w:t>
      </w:r>
    </w:p>
    <w:p w:rsidR="004F7015" w:rsidRPr="00DD32CB" w:rsidRDefault="004F7015" w:rsidP="001E7161">
      <w:pPr>
        <w:spacing w:after="0" w:line="240" w:lineRule="auto"/>
        <w:rPr>
          <w:rFonts w:ascii="Garamond" w:hAnsi="Garamond"/>
          <w:sz w:val="24"/>
          <w:szCs w:val="24"/>
        </w:rPr>
      </w:pPr>
    </w:p>
    <w:p w:rsidR="00DD32CB" w:rsidRDefault="00D87D83" w:rsidP="001E7161">
      <w:pPr>
        <w:spacing w:after="0" w:line="240" w:lineRule="auto"/>
        <w:rPr>
          <w:rFonts w:ascii="Garamond" w:hAnsi="Garamond"/>
          <w:sz w:val="24"/>
          <w:szCs w:val="24"/>
        </w:rPr>
      </w:pPr>
      <w:r w:rsidRPr="00DB3579">
        <w:rPr>
          <w:rFonts w:ascii="Garamond" w:hAnsi="Garamond"/>
          <w:sz w:val="24"/>
          <w:szCs w:val="24"/>
          <w:lang w:val="es-CO"/>
        </w:rPr>
        <w:t>Aguayo-T</w:t>
      </w:r>
      <w:r w:rsidR="001E7161" w:rsidRPr="00DB3579">
        <w:rPr>
          <w:rFonts w:ascii="Garamond" w:hAnsi="Garamond"/>
          <w:sz w:val="24"/>
          <w:szCs w:val="24"/>
          <w:lang w:val="es-CO"/>
        </w:rPr>
        <w:t>é</w:t>
      </w:r>
      <w:r w:rsidRPr="00DB3579">
        <w:rPr>
          <w:rFonts w:ascii="Garamond" w:hAnsi="Garamond"/>
          <w:sz w:val="24"/>
          <w:szCs w:val="24"/>
          <w:lang w:val="es-CO"/>
        </w:rPr>
        <w:t>llez</w:t>
      </w:r>
      <w:r w:rsidR="004F7015" w:rsidRPr="00DB3579">
        <w:rPr>
          <w:rFonts w:ascii="Garamond" w:hAnsi="Garamond"/>
          <w:sz w:val="24"/>
          <w:szCs w:val="24"/>
          <w:lang w:val="es-CO"/>
        </w:rPr>
        <w:t>, Ernesto  and Jos</w:t>
      </w:r>
      <w:r w:rsidR="001E7161" w:rsidRPr="00DB3579">
        <w:rPr>
          <w:rFonts w:ascii="Garamond" w:hAnsi="Garamond"/>
          <w:sz w:val="24"/>
          <w:szCs w:val="24"/>
          <w:lang w:val="es-CO"/>
        </w:rPr>
        <w:t xml:space="preserve">é </w:t>
      </w:r>
      <w:r w:rsidR="004F7015" w:rsidRPr="00DB3579">
        <w:rPr>
          <w:rFonts w:ascii="Garamond" w:hAnsi="Garamond"/>
          <w:sz w:val="24"/>
          <w:szCs w:val="24"/>
          <w:lang w:val="es-CO"/>
        </w:rPr>
        <w:t>Mart</w:t>
      </w:r>
      <w:r w:rsidR="001E7161" w:rsidRPr="00DB3579">
        <w:rPr>
          <w:rFonts w:ascii="Garamond" w:hAnsi="Garamond"/>
          <w:sz w:val="24"/>
          <w:szCs w:val="24"/>
          <w:lang w:val="es-CO"/>
        </w:rPr>
        <w:t>í</w:t>
      </w:r>
      <w:r w:rsidR="004F7015" w:rsidRPr="00DB3579">
        <w:rPr>
          <w:rFonts w:ascii="Garamond" w:hAnsi="Garamond"/>
          <w:sz w:val="24"/>
          <w:szCs w:val="24"/>
          <w:lang w:val="es-CO"/>
        </w:rPr>
        <w:t xml:space="preserve">nez-Navarro. </w:t>
      </w:r>
      <w:r>
        <w:rPr>
          <w:rFonts w:ascii="Garamond" w:hAnsi="Garamond"/>
          <w:sz w:val="24"/>
          <w:szCs w:val="24"/>
        </w:rPr>
        <w:t>2013.</w:t>
      </w:r>
      <w:r w:rsidRPr="00D87D83">
        <w:rPr>
          <w:rFonts w:ascii="Garamond" w:hAnsi="Garamond"/>
          <w:sz w:val="24"/>
          <w:szCs w:val="24"/>
        </w:rPr>
        <w:t xml:space="preserve"> "Internal and int</w:t>
      </w:r>
      <w:r>
        <w:rPr>
          <w:rFonts w:ascii="Garamond" w:hAnsi="Garamond"/>
          <w:sz w:val="24"/>
          <w:szCs w:val="24"/>
        </w:rPr>
        <w:t>ernational migration in Mexico:</w:t>
      </w:r>
      <w:r w:rsidR="00591152">
        <w:rPr>
          <w:rFonts w:ascii="Garamond" w:hAnsi="Garamond"/>
          <w:sz w:val="24"/>
          <w:szCs w:val="24"/>
        </w:rPr>
        <w:t xml:space="preserve"> </w:t>
      </w:r>
      <w:r>
        <w:rPr>
          <w:rFonts w:ascii="Garamond" w:hAnsi="Garamond"/>
          <w:sz w:val="24"/>
          <w:szCs w:val="24"/>
        </w:rPr>
        <w:t>1995–2000</w:t>
      </w:r>
      <w:r w:rsidRPr="00D87D83">
        <w:rPr>
          <w:rFonts w:ascii="Garamond" w:hAnsi="Garamond"/>
          <w:sz w:val="24"/>
          <w:szCs w:val="24"/>
        </w:rPr>
        <w:t xml:space="preserve">." </w:t>
      </w:r>
      <w:proofErr w:type="gramStart"/>
      <w:r w:rsidR="00A70820" w:rsidRPr="001E7161">
        <w:rPr>
          <w:rFonts w:ascii="Garamond" w:hAnsi="Garamond"/>
          <w:i/>
          <w:sz w:val="24"/>
          <w:szCs w:val="24"/>
        </w:rPr>
        <w:t>Applied Economics</w:t>
      </w:r>
      <w:r w:rsidR="001E7161">
        <w:rPr>
          <w:rFonts w:ascii="Garamond" w:hAnsi="Garamond"/>
          <w:sz w:val="24"/>
          <w:szCs w:val="24"/>
        </w:rPr>
        <w:t xml:space="preserve">, </w:t>
      </w:r>
      <w:r w:rsidR="00A70820">
        <w:rPr>
          <w:rFonts w:ascii="Garamond" w:hAnsi="Garamond"/>
          <w:sz w:val="24"/>
          <w:szCs w:val="24"/>
        </w:rPr>
        <w:t>45:13: 1647-1661.</w:t>
      </w:r>
      <w:proofErr w:type="gramEnd"/>
    </w:p>
    <w:p w:rsidR="001E7161" w:rsidRPr="00DD32CB" w:rsidRDefault="001E7161" w:rsidP="001E7161">
      <w:pPr>
        <w:spacing w:after="0" w:line="240" w:lineRule="auto"/>
        <w:rPr>
          <w:rFonts w:ascii="Garamond" w:hAnsi="Garamond"/>
          <w:sz w:val="24"/>
          <w:szCs w:val="24"/>
        </w:rPr>
      </w:pPr>
    </w:p>
    <w:p w:rsidR="00DD32CB" w:rsidRPr="00DD32CB" w:rsidRDefault="00591152" w:rsidP="001E7161">
      <w:pPr>
        <w:spacing w:after="0" w:line="240" w:lineRule="auto"/>
        <w:rPr>
          <w:rFonts w:ascii="Garamond" w:hAnsi="Garamond"/>
          <w:sz w:val="24"/>
          <w:szCs w:val="24"/>
        </w:rPr>
      </w:pPr>
      <w:proofErr w:type="spellStart"/>
      <w:r>
        <w:rPr>
          <w:rFonts w:ascii="Garamond" w:hAnsi="Garamond"/>
          <w:sz w:val="24"/>
          <w:szCs w:val="24"/>
        </w:rPr>
        <w:t>Angrist</w:t>
      </w:r>
      <w:proofErr w:type="spellEnd"/>
      <w:r>
        <w:rPr>
          <w:rFonts w:ascii="Garamond" w:hAnsi="Garamond"/>
          <w:sz w:val="24"/>
          <w:szCs w:val="24"/>
        </w:rPr>
        <w:t>, Joshua. 2002.</w:t>
      </w:r>
      <w:r w:rsidR="00DD32CB" w:rsidRPr="00DD32CB">
        <w:rPr>
          <w:rFonts w:ascii="Garamond" w:hAnsi="Garamond"/>
          <w:sz w:val="24"/>
          <w:szCs w:val="24"/>
        </w:rPr>
        <w:t xml:space="preserve">"How Do Sex Ratios Affect Marriage and Labor Markets? </w:t>
      </w:r>
      <w:proofErr w:type="gramStart"/>
      <w:r w:rsidR="00DD32CB" w:rsidRPr="00DD32CB">
        <w:rPr>
          <w:rFonts w:ascii="Garamond" w:hAnsi="Garamond"/>
          <w:sz w:val="24"/>
          <w:szCs w:val="24"/>
        </w:rPr>
        <w:t>Evidence from America's Second Generatio</w:t>
      </w:r>
      <w:r>
        <w:rPr>
          <w:rFonts w:ascii="Garamond" w:hAnsi="Garamond"/>
          <w:sz w:val="24"/>
          <w:szCs w:val="24"/>
        </w:rPr>
        <w:t>n."</w:t>
      </w:r>
      <w:proofErr w:type="gramEnd"/>
      <w:r w:rsidRPr="00DD32CB">
        <w:rPr>
          <w:rFonts w:ascii="Garamond" w:hAnsi="Garamond"/>
          <w:sz w:val="24"/>
          <w:szCs w:val="24"/>
        </w:rPr>
        <w:t xml:space="preserve"> </w:t>
      </w:r>
      <w:r w:rsidR="00DD32CB" w:rsidRPr="00591152">
        <w:rPr>
          <w:rFonts w:ascii="Garamond" w:hAnsi="Garamond"/>
          <w:i/>
          <w:sz w:val="24"/>
          <w:szCs w:val="24"/>
        </w:rPr>
        <w:t>The</w:t>
      </w:r>
      <w:r w:rsidRPr="00591152">
        <w:rPr>
          <w:rFonts w:ascii="Garamond" w:hAnsi="Garamond"/>
          <w:i/>
          <w:sz w:val="24"/>
          <w:szCs w:val="24"/>
        </w:rPr>
        <w:t xml:space="preserve"> Quarterly Journal of Economics</w:t>
      </w:r>
      <w:r w:rsidR="00DD32CB" w:rsidRPr="00DD32CB">
        <w:rPr>
          <w:rFonts w:ascii="Garamond" w:hAnsi="Garamond"/>
          <w:sz w:val="24"/>
          <w:szCs w:val="24"/>
        </w:rPr>
        <w:t>, 117 (3): 997-1038.</w:t>
      </w:r>
    </w:p>
    <w:p w:rsidR="00DD32CB" w:rsidRDefault="00DD32CB" w:rsidP="001E7161">
      <w:pPr>
        <w:spacing w:after="0" w:line="240" w:lineRule="auto"/>
        <w:rPr>
          <w:rFonts w:ascii="Garamond" w:hAnsi="Garamond"/>
          <w:sz w:val="24"/>
          <w:szCs w:val="24"/>
        </w:rPr>
      </w:pPr>
    </w:p>
    <w:p w:rsidR="004B2D88" w:rsidRDefault="004B2D88" w:rsidP="001E7161">
      <w:pPr>
        <w:spacing w:after="0" w:line="240" w:lineRule="auto"/>
        <w:rPr>
          <w:rFonts w:ascii="Garamond" w:hAnsi="Garamond"/>
          <w:sz w:val="24"/>
          <w:szCs w:val="24"/>
        </w:rPr>
      </w:pPr>
      <w:proofErr w:type="spellStart"/>
      <w:r>
        <w:rPr>
          <w:rFonts w:ascii="Garamond" w:hAnsi="Garamond"/>
          <w:sz w:val="24"/>
          <w:szCs w:val="24"/>
        </w:rPr>
        <w:t>Bartel</w:t>
      </w:r>
      <w:proofErr w:type="spellEnd"/>
      <w:r>
        <w:rPr>
          <w:rFonts w:ascii="Garamond" w:hAnsi="Garamond"/>
          <w:sz w:val="24"/>
          <w:szCs w:val="24"/>
        </w:rPr>
        <w:t xml:space="preserve">, Anne. </w:t>
      </w:r>
      <w:proofErr w:type="gramStart"/>
      <w:r>
        <w:rPr>
          <w:rFonts w:ascii="Garamond" w:hAnsi="Garamond"/>
          <w:sz w:val="24"/>
          <w:szCs w:val="24"/>
        </w:rPr>
        <w:t>P. 1989.</w:t>
      </w:r>
      <w:proofErr w:type="gramEnd"/>
      <w:r w:rsidRPr="00DD32CB">
        <w:rPr>
          <w:rFonts w:ascii="Garamond" w:hAnsi="Garamond"/>
          <w:sz w:val="24"/>
          <w:szCs w:val="24"/>
        </w:rPr>
        <w:t xml:space="preserve"> "</w:t>
      </w:r>
      <w:r>
        <w:rPr>
          <w:rFonts w:ascii="Garamond" w:hAnsi="Garamond"/>
          <w:sz w:val="24"/>
          <w:szCs w:val="24"/>
        </w:rPr>
        <w:t>Where Do the New U.S.</w:t>
      </w:r>
      <w:r w:rsidR="00591152">
        <w:rPr>
          <w:rFonts w:ascii="Garamond" w:hAnsi="Garamond"/>
          <w:sz w:val="24"/>
          <w:szCs w:val="24"/>
        </w:rPr>
        <w:t xml:space="preserve"> </w:t>
      </w:r>
      <w:r>
        <w:rPr>
          <w:rFonts w:ascii="Garamond" w:hAnsi="Garamond"/>
          <w:sz w:val="24"/>
          <w:szCs w:val="24"/>
        </w:rPr>
        <w:t>Immigrants Live?</w:t>
      </w:r>
      <w:r w:rsidR="00591152">
        <w:rPr>
          <w:rFonts w:ascii="Garamond" w:hAnsi="Garamond"/>
          <w:sz w:val="24"/>
          <w:szCs w:val="24"/>
        </w:rPr>
        <w:t xml:space="preserve">” </w:t>
      </w:r>
      <w:r w:rsidRPr="00591152">
        <w:rPr>
          <w:rFonts w:ascii="Garamond" w:hAnsi="Garamond"/>
          <w:i/>
          <w:sz w:val="24"/>
          <w:szCs w:val="24"/>
        </w:rPr>
        <w:t>Journal of Labor Economics</w:t>
      </w:r>
      <w:proofErr w:type="gramStart"/>
      <w:r w:rsidR="00C8573B" w:rsidRPr="00DD32CB">
        <w:rPr>
          <w:rFonts w:ascii="Garamond" w:hAnsi="Garamond"/>
          <w:sz w:val="24"/>
          <w:szCs w:val="24"/>
        </w:rPr>
        <w:t>,</w:t>
      </w:r>
      <w:r w:rsidR="00C8573B">
        <w:rPr>
          <w:rFonts w:ascii="Garamond" w:hAnsi="Garamond"/>
          <w:sz w:val="24"/>
          <w:szCs w:val="24"/>
        </w:rPr>
        <w:t>7</w:t>
      </w:r>
      <w:proofErr w:type="gramEnd"/>
      <w:r w:rsidR="00C8573B">
        <w:rPr>
          <w:rFonts w:ascii="Garamond" w:hAnsi="Garamond"/>
          <w:sz w:val="24"/>
          <w:szCs w:val="24"/>
        </w:rPr>
        <w:t>(4):371-391.</w:t>
      </w:r>
    </w:p>
    <w:p w:rsidR="00C8573B" w:rsidRPr="00DD32CB" w:rsidRDefault="00C8573B" w:rsidP="001E7161">
      <w:pPr>
        <w:spacing w:after="0" w:line="240" w:lineRule="auto"/>
        <w:rPr>
          <w:rFonts w:ascii="Garamond" w:hAnsi="Garamond"/>
          <w:sz w:val="24"/>
          <w:szCs w:val="24"/>
        </w:rPr>
      </w:pPr>
    </w:p>
    <w:p w:rsidR="00DD32CB" w:rsidRDefault="00591152" w:rsidP="001E7161">
      <w:pPr>
        <w:spacing w:after="0" w:line="240" w:lineRule="auto"/>
        <w:rPr>
          <w:rFonts w:ascii="Garamond" w:hAnsi="Garamond"/>
          <w:sz w:val="24"/>
          <w:szCs w:val="24"/>
        </w:rPr>
      </w:pPr>
      <w:proofErr w:type="spellStart"/>
      <w:r>
        <w:rPr>
          <w:rFonts w:ascii="Garamond" w:hAnsi="Garamond"/>
          <w:sz w:val="24"/>
          <w:szCs w:val="24"/>
        </w:rPr>
        <w:t>Beller</w:t>
      </w:r>
      <w:proofErr w:type="spellEnd"/>
      <w:r>
        <w:rPr>
          <w:rFonts w:ascii="Garamond" w:hAnsi="Garamond"/>
          <w:sz w:val="24"/>
          <w:szCs w:val="24"/>
        </w:rPr>
        <w:t xml:space="preserve">, Andrea. </w:t>
      </w:r>
      <w:proofErr w:type="gramStart"/>
      <w:r>
        <w:rPr>
          <w:rFonts w:ascii="Garamond" w:hAnsi="Garamond"/>
          <w:sz w:val="24"/>
          <w:szCs w:val="24"/>
        </w:rPr>
        <w:t>H. 1985.</w:t>
      </w:r>
      <w:r w:rsidR="00DD32CB" w:rsidRPr="00DD32CB">
        <w:rPr>
          <w:rFonts w:ascii="Garamond" w:hAnsi="Garamond"/>
          <w:sz w:val="24"/>
          <w:szCs w:val="24"/>
        </w:rPr>
        <w:t>"</w:t>
      </w:r>
      <w:proofErr w:type="gramEnd"/>
      <w:r w:rsidR="00DD32CB" w:rsidRPr="00DD32CB">
        <w:rPr>
          <w:rFonts w:ascii="Garamond" w:hAnsi="Garamond"/>
          <w:sz w:val="24"/>
          <w:szCs w:val="24"/>
        </w:rPr>
        <w:t>Changes in the Sex Composition of U. S</w:t>
      </w:r>
      <w:r>
        <w:rPr>
          <w:rFonts w:ascii="Garamond" w:hAnsi="Garamond"/>
          <w:sz w:val="24"/>
          <w:szCs w:val="24"/>
        </w:rPr>
        <w:t xml:space="preserve">. Occupations, 1960-1981." </w:t>
      </w:r>
      <w:r w:rsidRPr="00591152">
        <w:rPr>
          <w:rFonts w:ascii="Garamond" w:hAnsi="Garamond"/>
          <w:i/>
          <w:sz w:val="24"/>
          <w:szCs w:val="24"/>
        </w:rPr>
        <w:t>The Journal of Human Resources</w:t>
      </w:r>
      <w:r>
        <w:rPr>
          <w:rFonts w:ascii="Garamond" w:hAnsi="Garamond"/>
          <w:sz w:val="24"/>
          <w:szCs w:val="24"/>
        </w:rPr>
        <w:t xml:space="preserve">, </w:t>
      </w:r>
      <w:r w:rsidR="00DD32CB" w:rsidRPr="00DD32CB">
        <w:rPr>
          <w:rFonts w:ascii="Garamond" w:hAnsi="Garamond"/>
          <w:sz w:val="24"/>
          <w:szCs w:val="24"/>
        </w:rPr>
        <w:t>20 (2): 235-250.</w:t>
      </w:r>
    </w:p>
    <w:p w:rsidR="009B75A9" w:rsidRDefault="009B75A9" w:rsidP="001E7161">
      <w:pPr>
        <w:spacing w:after="0" w:line="240" w:lineRule="auto"/>
        <w:rPr>
          <w:rFonts w:ascii="Garamond" w:hAnsi="Garamond"/>
          <w:sz w:val="24"/>
          <w:szCs w:val="24"/>
        </w:rPr>
      </w:pPr>
    </w:p>
    <w:p w:rsidR="0013111D" w:rsidRDefault="0013111D" w:rsidP="001E7161">
      <w:pPr>
        <w:spacing w:after="0" w:line="240" w:lineRule="auto"/>
        <w:rPr>
          <w:rFonts w:ascii="Garamond" w:hAnsi="Garamond"/>
          <w:sz w:val="24"/>
          <w:szCs w:val="24"/>
        </w:rPr>
      </w:pPr>
      <w:proofErr w:type="spellStart"/>
      <w:r w:rsidRPr="00DB3579">
        <w:rPr>
          <w:rFonts w:ascii="Garamond" w:hAnsi="Garamond"/>
          <w:sz w:val="24"/>
          <w:szCs w:val="24"/>
          <w:lang w:val="es-CO"/>
        </w:rPr>
        <w:t>Bh</w:t>
      </w:r>
      <w:r w:rsidR="0075230D" w:rsidRPr="00DB3579">
        <w:rPr>
          <w:rFonts w:ascii="Garamond" w:hAnsi="Garamond"/>
          <w:sz w:val="24"/>
          <w:szCs w:val="24"/>
          <w:lang w:val="es-CO"/>
        </w:rPr>
        <w:t>alotra</w:t>
      </w:r>
      <w:proofErr w:type="spellEnd"/>
      <w:r w:rsidR="0075230D" w:rsidRPr="00DB3579">
        <w:rPr>
          <w:rFonts w:ascii="Garamond" w:hAnsi="Garamond"/>
          <w:sz w:val="24"/>
          <w:szCs w:val="24"/>
          <w:lang w:val="es-CO"/>
        </w:rPr>
        <w:t xml:space="preserve">, Sonia R., </w:t>
      </w:r>
      <w:proofErr w:type="spellStart"/>
      <w:r w:rsidR="0075230D" w:rsidRPr="00DB3579">
        <w:rPr>
          <w:rFonts w:ascii="Garamond" w:hAnsi="Garamond"/>
          <w:sz w:val="24"/>
          <w:szCs w:val="24"/>
          <w:lang w:val="es-CO"/>
        </w:rPr>
        <w:t>Fernandez</w:t>
      </w:r>
      <w:proofErr w:type="spellEnd"/>
      <w:r w:rsidR="0075230D" w:rsidRPr="00DB3579">
        <w:rPr>
          <w:rFonts w:ascii="Garamond" w:hAnsi="Garamond"/>
          <w:sz w:val="24"/>
          <w:szCs w:val="24"/>
          <w:lang w:val="es-CO"/>
        </w:rPr>
        <w:t>-Sierra, Manuel</w:t>
      </w:r>
      <w:r w:rsidRPr="00DB3579">
        <w:rPr>
          <w:rFonts w:ascii="Garamond" w:hAnsi="Garamond"/>
          <w:sz w:val="24"/>
          <w:szCs w:val="24"/>
          <w:lang w:val="es-CO"/>
        </w:rPr>
        <w:t xml:space="preserve">, and </w:t>
      </w:r>
      <w:proofErr w:type="spellStart"/>
      <w:r w:rsidR="0075230D" w:rsidRPr="00DB3579">
        <w:rPr>
          <w:rFonts w:ascii="Garamond" w:hAnsi="Garamond"/>
          <w:sz w:val="24"/>
          <w:szCs w:val="24"/>
          <w:lang w:val="es-CO"/>
        </w:rPr>
        <w:t>Atheendar</w:t>
      </w:r>
      <w:proofErr w:type="spellEnd"/>
      <w:r w:rsidR="0075230D" w:rsidRPr="00DB3579">
        <w:rPr>
          <w:rFonts w:ascii="Garamond" w:hAnsi="Garamond"/>
          <w:sz w:val="24"/>
          <w:szCs w:val="24"/>
          <w:lang w:val="es-CO"/>
        </w:rPr>
        <w:t xml:space="preserve"> </w:t>
      </w:r>
      <w:proofErr w:type="spellStart"/>
      <w:r w:rsidR="0075230D" w:rsidRPr="00DB3579">
        <w:rPr>
          <w:rFonts w:ascii="Garamond" w:hAnsi="Garamond"/>
          <w:sz w:val="24"/>
          <w:szCs w:val="24"/>
          <w:lang w:val="es-CO"/>
        </w:rPr>
        <w:t>Venkataramani</w:t>
      </w:r>
      <w:proofErr w:type="spellEnd"/>
      <w:r w:rsidRPr="00DB3579">
        <w:rPr>
          <w:rFonts w:ascii="Garamond" w:hAnsi="Garamond"/>
          <w:sz w:val="24"/>
          <w:szCs w:val="24"/>
          <w:lang w:val="es-CO"/>
        </w:rPr>
        <w:t xml:space="preserve">. </w:t>
      </w:r>
      <w:proofErr w:type="gramStart"/>
      <w:r>
        <w:rPr>
          <w:rFonts w:ascii="Garamond" w:hAnsi="Garamond"/>
          <w:sz w:val="24"/>
          <w:szCs w:val="24"/>
        </w:rPr>
        <w:t>Forthcoming.</w:t>
      </w:r>
      <w:proofErr w:type="gramEnd"/>
      <w:r w:rsidRPr="0013111D">
        <w:rPr>
          <w:rFonts w:ascii="Garamond" w:hAnsi="Garamond"/>
          <w:sz w:val="24"/>
          <w:szCs w:val="24"/>
        </w:rPr>
        <w:t xml:space="preserve"> </w:t>
      </w:r>
      <w:r w:rsidRPr="00DD32CB">
        <w:rPr>
          <w:rFonts w:ascii="Garamond" w:hAnsi="Garamond"/>
          <w:sz w:val="24"/>
          <w:szCs w:val="24"/>
        </w:rPr>
        <w:t xml:space="preserve"> "</w:t>
      </w:r>
      <w:r w:rsidRPr="0013111D">
        <w:rPr>
          <w:rFonts w:ascii="Garamond" w:hAnsi="Garamond"/>
          <w:sz w:val="24"/>
          <w:szCs w:val="24"/>
        </w:rPr>
        <w:t>The Right Tail and the Right Tale: Women and Skill in Mexico</w:t>
      </w:r>
      <w:r w:rsidR="00591152">
        <w:rPr>
          <w:rFonts w:ascii="Garamond" w:hAnsi="Garamond"/>
          <w:sz w:val="24"/>
          <w:szCs w:val="24"/>
        </w:rPr>
        <w:t xml:space="preserve">.” </w:t>
      </w:r>
      <w:proofErr w:type="gramStart"/>
      <w:r w:rsidRPr="00591152">
        <w:rPr>
          <w:rFonts w:ascii="Garamond" w:hAnsi="Garamond"/>
          <w:i/>
          <w:sz w:val="24"/>
          <w:szCs w:val="24"/>
        </w:rPr>
        <w:t>Research in Labor Economics</w:t>
      </w:r>
      <w:r w:rsidRPr="0013111D">
        <w:rPr>
          <w:rFonts w:ascii="Garamond" w:hAnsi="Garamond"/>
          <w:sz w:val="24"/>
          <w:szCs w:val="24"/>
        </w:rPr>
        <w:t>.</w:t>
      </w:r>
      <w:proofErr w:type="gramEnd"/>
    </w:p>
    <w:p w:rsidR="0013111D" w:rsidRPr="00DD32CB" w:rsidRDefault="0013111D" w:rsidP="001E7161">
      <w:pPr>
        <w:spacing w:after="0" w:line="240" w:lineRule="auto"/>
        <w:rPr>
          <w:rFonts w:ascii="Garamond" w:hAnsi="Garamond"/>
          <w:sz w:val="24"/>
          <w:szCs w:val="24"/>
        </w:rPr>
      </w:pPr>
    </w:p>
    <w:p w:rsidR="00DD32CB" w:rsidRDefault="009B75A9" w:rsidP="001E7161">
      <w:pPr>
        <w:spacing w:after="0" w:line="240" w:lineRule="auto"/>
        <w:rPr>
          <w:rFonts w:ascii="Garamond" w:hAnsi="Garamond"/>
          <w:sz w:val="24"/>
          <w:szCs w:val="24"/>
        </w:rPr>
      </w:pPr>
      <w:r>
        <w:rPr>
          <w:rFonts w:ascii="Garamond" w:hAnsi="Garamond"/>
          <w:sz w:val="24"/>
          <w:szCs w:val="24"/>
        </w:rPr>
        <w:t>Card, David. 2001</w:t>
      </w:r>
      <w:r w:rsidR="00591152">
        <w:rPr>
          <w:rFonts w:ascii="Garamond" w:hAnsi="Garamond"/>
          <w:sz w:val="24"/>
          <w:szCs w:val="24"/>
        </w:rPr>
        <w:t>.</w:t>
      </w:r>
      <w:r w:rsidRPr="00DD32CB">
        <w:rPr>
          <w:rFonts w:ascii="Garamond" w:hAnsi="Garamond"/>
          <w:sz w:val="24"/>
          <w:szCs w:val="24"/>
        </w:rPr>
        <w:t>"</w:t>
      </w:r>
      <w:r w:rsidR="00D35C2F">
        <w:rPr>
          <w:rFonts w:ascii="Garamond" w:hAnsi="Garamond"/>
          <w:sz w:val="24"/>
          <w:szCs w:val="24"/>
        </w:rPr>
        <w:t>Immigrant Inflows, Native Outflows, and the Local Labor Market Impacts of Higher Immigration</w:t>
      </w:r>
      <w:r w:rsidR="00591152">
        <w:rPr>
          <w:rFonts w:ascii="Garamond" w:hAnsi="Garamond"/>
          <w:sz w:val="24"/>
          <w:szCs w:val="24"/>
        </w:rPr>
        <w:t xml:space="preserve">." </w:t>
      </w:r>
      <w:r w:rsidR="00D35C2F" w:rsidRPr="00591152">
        <w:rPr>
          <w:rFonts w:ascii="Garamond" w:hAnsi="Garamond"/>
          <w:i/>
          <w:sz w:val="24"/>
          <w:szCs w:val="24"/>
        </w:rPr>
        <w:t>Journal of Labor Economics</w:t>
      </w:r>
      <w:r w:rsidR="00D35C2F">
        <w:rPr>
          <w:rFonts w:ascii="Garamond" w:hAnsi="Garamond"/>
          <w:sz w:val="24"/>
          <w:szCs w:val="24"/>
        </w:rPr>
        <w:t>, 19(1): 22-64.</w:t>
      </w:r>
    </w:p>
    <w:p w:rsidR="009B75A9" w:rsidRPr="00DD32CB" w:rsidRDefault="009B75A9" w:rsidP="001E7161">
      <w:pPr>
        <w:spacing w:after="0" w:line="240" w:lineRule="auto"/>
        <w:rPr>
          <w:rFonts w:ascii="Garamond" w:hAnsi="Garamond"/>
          <w:sz w:val="24"/>
          <w:szCs w:val="24"/>
        </w:rPr>
      </w:pPr>
    </w:p>
    <w:p w:rsidR="00DD32CB" w:rsidRPr="00DD32CB" w:rsidRDefault="00DD32CB" w:rsidP="001E7161">
      <w:pPr>
        <w:spacing w:after="0" w:line="240" w:lineRule="auto"/>
        <w:rPr>
          <w:rFonts w:ascii="Garamond" w:hAnsi="Garamond"/>
          <w:sz w:val="24"/>
          <w:szCs w:val="24"/>
        </w:rPr>
      </w:pPr>
      <w:proofErr w:type="gramStart"/>
      <w:r w:rsidRPr="00DD32CB">
        <w:rPr>
          <w:rFonts w:ascii="Garamond" w:hAnsi="Garamond"/>
          <w:sz w:val="24"/>
          <w:szCs w:val="24"/>
        </w:rPr>
        <w:t xml:space="preserve">Charles, </w:t>
      </w:r>
      <w:proofErr w:type="spellStart"/>
      <w:r w:rsidRPr="00DD32CB">
        <w:rPr>
          <w:rFonts w:ascii="Garamond" w:hAnsi="Garamond"/>
          <w:sz w:val="24"/>
          <w:szCs w:val="24"/>
        </w:rPr>
        <w:t>Kerwin</w:t>
      </w:r>
      <w:proofErr w:type="spellEnd"/>
      <w:r w:rsidRPr="00DD32CB">
        <w:rPr>
          <w:rFonts w:ascii="Garamond" w:hAnsi="Garamond"/>
          <w:sz w:val="24"/>
          <w:szCs w:val="24"/>
        </w:rPr>
        <w:t xml:space="preserve"> Kofi and Ming </w:t>
      </w:r>
      <w:proofErr w:type="spellStart"/>
      <w:r w:rsidRPr="00DD32CB">
        <w:rPr>
          <w:rFonts w:ascii="Garamond" w:hAnsi="Garamond"/>
          <w:sz w:val="24"/>
          <w:szCs w:val="24"/>
        </w:rPr>
        <w:t>Ching</w:t>
      </w:r>
      <w:proofErr w:type="spellEnd"/>
      <w:r w:rsidRPr="00DD32CB">
        <w:rPr>
          <w:rFonts w:ascii="Garamond" w:hAnsi="Garamond"/>
          <w:sz w:val="24"/>
          <w:szCs w:val="24"/>
        </w:rPr>
        <w:t xml:space="preserve"> </w:t>
      </w:r>
      <w:proofErr w:type="spellStart"/>
      <w:r w:rsidRPr="00DD32CB">
        <w:rPr>
          <w:rFonts w:ascii="Garamond" w:hAnsi="Garamond"/>
          <w:sz w:val="24"/>
          <w:szCs w:val="24"/>
        </w:rPr>
        <w:t>Luoh</w:t>
      </w:r>
      <w:proofErr w:type="spellEnd"/>
      <w:r w:rsidRPr="00DD32CB">
        <w:rPr>
          <w:rFonts w:ascii="Garamond" w:hAnsi="Garamond"/>
          <w:sz w:val="24"/>
          <w:szCs w:val="24"/>
        </w:rPr>
        <w:t>.</w:t>
      </w:r>
      <w:proofErr w:type="gramEnd"/>
      <w:r w:rsidRPr="00DD32CB">
        <w:rPr>
          <w:rFonts w:ascii="Garamond" w:hAnsi="Garamond"/>
          <w:sz w:val="24"/>
          <w:szCs w:val="24"/>
        </w:rPr>
        <w:t xml:space="preserve"> 2010</w:t>
      </w:r>
      <w:r w:rsidR="00591152">
        <w:rPr>
          <w:rFonts w:ascii="Garamond" w:hAnsi="Garamond"/>
          <w:sz w:val="24"/>
          <w:szCs w:val="24"/>
        </w:rPr>
        <w:t xml:space="preserve">. </w:t>
      </w:r>
      <w:r w:rsidRPr="00DD32CB">
        <w:rPr>
          <w:rFonts w:ascii="Garamond" w:hAnsi="Garamond"/>
          <w:sz w:val="24"/>
          <w:szCs w:val="24"/>
        </w:rPr>
        <w:t xml:space="preserve"> "Male Incarceration, the Marriage Market and Female Outcomes</w:t>
      </w:r>
      <w:r w:rsidR="00591152">
        <w:rPr>
          <w:rFonts w:ascii="Garamond" w:hAnsi="Garamond"/>
          <w:sz w:val="24"/>
          <w:szCs w:val="24"/>
        </w:rPr>
        <w:t xml:space="preserve">.” </w:t>
      </w:r>
      <w:r w:rsidRPr="00591152">
        <w:rPr>
          <w:rFonts w:ascii="Garamond" w:hAnsi="Garamond"/>
          <w:i/>
          <w:sz w:val="24"/>
          <w:szCs w:val="24"/>
        </w:rPr>
        <w:t>Review of Economics and Statistics</w:t>
      </w:r>
      <w:r w:rsidR="00591152">
        <w:rPr>
          <w:rFonts w:ascii="Garamond" w:hAnsi="Garamond"/>
          <w:sz w:val="24"/>
          <w:szCs w:val="24"/>
        </w:rPr>
        <w:t>,</w:t>
      </w:r>
      <w:r w:rsidRPr="00DD32CB">
        <w:rPr>
          <w:rFonts w:ascii="Garamond" w:hAnsi="Garamond"/>
          <w:sz w:val="24"/>
          <w:szCs w:val="24"/>
        </w:rPr>
        <w:t xml:space="preserve"> 92:614-627.</w:t>
      </w:r>
    </w:p>
    <w:p w:rsidR="00DD32CB" w:rsidRPr="00DD32CB" w:rsidRDefault="00DD32CB" w:rsidP="001E7161">
      <w:pPr>
        <w:spacing w:after="0" w:line="240" w:lineRule="auto"/>
        <w:rPr>
          <w:rFonts w:ascii="Garamond" w:hAnsi="Garamond"/>
          <w:sz w:val="24"/>
          <w:szCs w:val="24"/>
        </w:rPr>
      </w:pPr>
    </w:p>
    <w:p w:rsidR="00DD32CB" w:rsidRPr="00DD32CB" w:rsidRDefault="00DD32CB" w:rsidP="001E7161">
      <w:pPr>
        <w:spacing w:after="0" w:line="240" w:lineRule="auto"/>
        <w:rPr>
          <w:rFonts w:ascii="Garamond" w:hAnsi="Garamond"/>
          <w:sz w:val="24"/>
          <w:szCs w:val="24"/>
        </w:rPr>
      </w:pPr>
      <w:proofErr w:type="spellStart"/>
      <w:proofErr w:type="gramStart"/>
      <w:r w:rsidRPr="00DD32CB">
        <w:rPr>
          <w:rFonts w:ascii="Garamond" w:hAnsi="Garamond"/>
          <w:sz w:val="24"/>
          <w:szCs w:val="24"/>
        </w:rPr>
        <w:t>Chiquiar</w:t>
      </w:r>
      <w:proofErr w:type="spellEnd"/>
      <w:r w:rsidRPr="00DD32CB">
        <w:rPr>
          <w:rFonts w:ascii="Garamond" w:hAnsi="Garamond"/>
          <w:sz w:val="24"/>
          <w:szCs w:val="24"/>
        </w:rPr>
        <w:t>, David and Gordon H. Hanson.</w:t>
      </w:r>
      <w:proofErr w:type="gramEnd"/>
      <w:r w:rsidRPr="00DD32CB">
        <w:rPr>
          <w:rFonts w:ascii="Garamond" w:hAnsi="Garamond"/>
          <w:sz w:val="24"/>
          <w:szCs w:val="24"/>
        </w:rPr>
        <w:t xml:space="preserve"> 2005</w:t>
      </w:r>
      <w:r w:rsidR="00591152">
        <w:rPr>
          <w:rFonts w:ascii="Garamond" w:hAnsi="Garamond"/>
          <w:sz w:val="24"/>
          <w:szCs w:val="24"/>
        </w:rPr>
        <w:t xml:space="preserve">. </w:t>
      </w:r>
      <w:r w:rsidRPr="00DD32CB">
        <w:rPr>
          <w:rFonts w:ascii="Garamond" w:hAnsi="Garamond"/>
          <w:sz w:val="24"/>
          <w:szCs w:val="24"/>
        </w:rPr>
        <w:t xml:space="preserve"> "International Migration, Self-Selection, and the Distribution of Wages: Evidence from Mexico and the United States</w:t>
      </w:r>
      <w:r w:rsidR="00591152">
        <w:rPr>
          <w:rFonts w:ascii="Garamond" w:hAnsi="Garamond"/>
          <w:sz w:val="24"/>
          <w:szCs w:val="24"/>
        </w:rPr>
        <w:t xml:space="preserve">.” </w:t>
      </w:r>
      <w:r w:rsidRPr="00591152">
        <w:rPr>
          <w:rFonts w:ascii="Garamond" w:hAnsi="Garamond"/>
          <w:i/>
          <w:sz w:val="24"/>
          <w:szCs w:val="24"/>
        </w:rPr>
        <w:t>Journal of Political Economy</w:t>
      </w:r>
      <w:r w:rsidR="00591152">
        <w:rPr>
          <w:rFonts w:ascii="Garamond" w:hAnsi="Garamond"/>
          <w:sz w:val="24"/>
          <w:szCs w:val="24"/>
        </w:rPr>
        <w:t>,</w:t>
      </w:r>
      <w:r w:rsidRPr="00DD32CB">
        <w:rPr>
          <w:rFonts w:ascii="Garamond" w:hAnsi="Garamond"/>
          <w:sz w:val="24"/>
          <w:szCs w:val="24"/>
        </w:rPr>
        <w:t xml:space="preserve"> 113(2): 239-281.</w:t>
      </w:r>
    </w:p>
    <w:p w:rsidR="002F0340" w:rsidRPr="00DD32CB" w:rsidRDefault="002F0340" w:rsidP="001E7161">
      <w:pPr>
        <w:spacing w:after="0" w:line="240" w:lineRule="auto"/>
        <w:rPr>
          <w:rFonts w:ascii="Garamond" w:hAnsi="Garamond"/>
          <w:sz w:val="24"/>
          <w:szCs w:val="24"/>
        </w:rPr>
      </w:pPr>
    </w:p>
    <w:p w:rsidR="002F0340" w:rsidRPr="00F63112" w:rsidRDefault="002F0340" w:rsidP="001E7161">
      <w:pPr>
        <w:spacing w:after="0" w:line="240" w:lineRule="auto"/>
        <w:jc w:val="both"/>
        <w:rPr>
          <w:rFonts w:ascii="Garamond" w:hAnsi="Garamond"/>
          <w:sz w:val="24"/>
          <w:szCs w:val="24"/>
          <w:lang w:val="es-CO"/>
        </w:rPr>
      </w:pPr>
      <w:proofErr w:type="spellStart"/>
      <w:r>
        <w:rPr>
          <w:rFonts w:ascii="Garamond" w:hAnsi="Garamond"/>
          <w:sz w:val="24"/>
          <w:szCs w:val="24"/>
        </w:rPr>
        <w:t>Duflo</w:t>
      </w:r>
      <w:proofErr w:type="spellEnd"/>
      <w:r>
        <w:rPr>
          <w:rFonts w:ascii="Garamond" w:hAnsi="Garamond"/>
          <w:sz w:val="24"/>
          <w:szCs w:val="24"/>
        </w:rPr>
        <w:t>, Esther. 2012</w:t>
      </w:r>
      <w:r w:rsidR="00591152">
        <w:rPr>
          <w:rFonts w:ascii="Garamond" w:hAnsi="Garamond"/>
          <w:sz w:val="24"/>
          <w:szCs w:val="24"/>
        </w:rPr>
        <w:t xml:space="preserve">. </w:t>
      </w:r>
      <w:r>
        <w:rPr>
          <w:rFonts w:ascii="Garamond" w:hAnsi="Garamond"/>
          <w:sz w:val="24"/>
          <w:szCs w:val="24"/>
        </w:rPr>
        <w:t xml:space="preserve"> "Women Empowerment and Economic Development</w:t>
      </w:r>
      <w:r w:rsidR="00591152">
        <w:rPr>
          <w:rFonts w:ascii="Garamond" w:hAnsi="Garamond"/>
          <w:sz w:val="24"/>
          <w:szCs w:val="24"/>
        </w:rPr>
        <w:t xml:space="preserve">.” </w:t>
      </w:r>
      <w:proofErr w:type="spellStart"/>
      <w:r w:rsidRPr="00F63112">
        <w:rPr>
          <w:rFonts w:ascii="Garamond" w:hAnsi="Garamond"/>
          <w:i/>
          <w:sz w:val="24"/>
          <w:szCs w:val="24"/>
          <w:lang w:val="es-CO"/>
        </w:rPr>
        <w:t>Journal</w:t>
      </w:r>
      <w:proofErr w:type="spellEnd"/>
      <w:r w:rsidRPr="00F63112">
        <w:rPr>
          <w:rFonts w:ascii="Garamond" w:hAnsi="Garamond"/>
          <w:i/>
          <w:sz w:val="24"/>
          <w:szCs w:val="24"/>
          <w:lang w:val="es-CO"/>
        </w:rPr>
        <w:t xml:space="preserve"> of </w:t>
      </w:r>
      <w:proofErr w:type="spellStart"/>
      <w:r w:rsidRPr="00F63112">
        <w:rPr>
          <w:rFonts w:ascii="Garamond" w:hAnsi="Garamond"/>
          <w:i/>
          <w:sz w:val="24"/>
          <w:szCs w:val="24"/>
          <w:lang w:val="es-CO"/>
        </w:rPr>
        <w:t>Economic</w:t>
      </w:r>
      <w:proofErr w:type="spellEnd"/>
      <w:r w:rsidRPr="00F63112">
        <w:rPr>
          <w:rFonts w:ascii="Garamond" w:hAnsi="Garamond"/>
          <w:i/>
          <w:sz w:val="24"/>
          <w:szCs w:val="24"/>
          <w:lang w:val="es-CO"/>
        </w:rPr>
        <w:t xml:space="preserve"> </w:t>
      </w:r>
      <w:proofErr w:type="spellStart"/>
      <w:r w:rsidRPr="00F63112">
        <w:rPr>
          <w:rFonts w:ascii="Garamond" w:hAnsi="Garamond"/>
          <w:i/>
          <w:sz w:val="24"/>
          <w:szCs w:val="24"/>
          <w:lang w:val="es-CO"/>
        </w:rPr>
        <w:t>Literature</w:t>
      </w:r>
      <w:proofErr w:type="spellEnd"/>
      <w:r w:rsidR="00591152" w:rsidRPr="00F63112">
        <w:rPr>
          <w:rFonts w:ascii="Garamond" w:hAnsi="Garamond"/>
          <w:sz w:val="24"/>
          <w:szCs w:val="24"/>
          <w:lang w:val="es-CO"/>
        </w:rPr>
        <w:t xml:space="preserve">, </w:t>
      </w:r>
      <w:r w:rsidRPr="00F63112">
        <w:rPr>
          <w:rFonts w:ascii="Garamond" w:hAnsi="Garamond"/>
          <w:sz w:val="24"/>
          <w:szCs w:val="24"/>
          <w:lang w:val="es-CO"/>
        </w:rPr>
        <w:t>50 (4): 1051-1079.</w:t>
      </w:r>
    </w:p>
    <w:p w:rsidR="00C9772E" w:rsidRDefault="00C9772E" w:rsidP="00C9772E">
      <w:pPr>
        <w:spacing w:after="0" w:line="240" w:lineRule="auto"/>
        <w:rPr>
          <w:rFonts w:ascii="Garamond" w:hAnsi="Garamond"/>
          <w:sz w:val="24"/>
          <w:szCs w:val="24"/>
        </w:rPr>
      </w:pPr>
    </w:p>
    <w:p w:rsidR="00C9772E" w:rsidRDefault="00C9772E" w:rsidP="00C9772E">
      <w:pPr>
        <w:spacing w:after="0" w:line="240" w:lineRule="auto"/>
        <w:rPr>
          <w:rFonts w:ascii="Garamond" w:hAnsi="Garamond"/>
          <w:sz w:val="24"/>
          <w:szCs w:val="24"/>
        </w:rPr>
      </w:pPr>
      <w:proofErr w:type="gramStart"/>
      <w:r w:rsidRPr="00E34AB0">
        <w:rPr>
          <w:rFonts w:ascii="Garamond" w:hAnsi="Garamond"/>
          <w:sz w:val="24"/>
          <w:szCs w:val="24"/>
        </w:rPr>
        <w:t>Durand</w:t>
      </w:r>
      <w:r>
        <w:rPr>
          <w:rFonts w:ascii="Garamond" w:hAnsi="Garamond"/>
          <w:sz w:val="24"/>
          <w:szCs w:val="24"/>
        </w:rPr>
        <w:t>, Jorge</w:t>
      </w:r>
      <w:r w:rsidRPr="00E34AB0">
        <w:rPr>
          <w:rFonts w:ascii="Garamond" w:hAnsi="Garamond"/>
          <w:sz w:val="24"/>
          <w:szCs w:val="24"/>
        </w:rPr>
        <w:t xml:space="preserve">, Douglas S. Massey and Rene M. </w:t>
      </w:r>
      <w:proofErr w:type="spellStart"/>
      <w:r w:rsidRPr="00E34AB0">
        <w:rPr>
          <w:rFonts w:ascii="Garamond" w:hAnsi="Garamond"/>
          <w:sz w:val="24"/>
          <w:szCs w:val="24"/>
        </w:rPr>
        <w:t>Zenteno</w:t>
      </w:r>
      <w:proofErr w:type="spellEnd"/>
      <w:r>
        <w:rPr>
          <w:rFonts w:ascii="Garamond" w:hAnsi="Garamond"/>
          <w:sz w:val="24"/>
          <w:szCs w:val="24"/>
        </w:rPr>
        <w:t>.</w:t>
      </w:r>
      <w:proofErr w:type="gramEnd"/>
      <w:r>
        <w:rPr>
          <w:rFonts w:ascii="Garamond" w:hAnsi="Garamond"/>
          <w:sz w:val="24"/>
          <w:szCs w:val="24"/>
        </w:rPr>
        <w:t xml:space="preserve"> 2001. “</w:t>
      </w:r>
      <w:r w:rsidRPr="00E34AB0">
        <w:rPr>
          <w:rFonts w:ascii="Garamond" w:hAnsi="Garamond"/>
          <w:sz w:val="24"/>
          <w:szCs w:val="24"/>
        </w:rPr>
        <w:t>Mexican Immigration to the United S</w:t>
      </w:r>
      <w:r>
        <w:rPr>
          <w:rFonts w:ascii="Garamond" w:hAnsi="Garamond"/>
          <w:sz w:val="24"/>
          <w:szCs w:val="24"/>
        </w:rPr>
        <w:t xml:space="preserve">tates: Continuities and Changes.” </w:t>
      </w:r>
      <w:r w:rsidRPr="001670B2">
        <w:rPr>
          <w:rFonts w:ascii="Garamond" w:hAnsi="Garamond"/>
          <w:i/>
          <w:sz w:val="24"/>
          <w:szCs w:val="24"/>
        </w:rPr>
        <w:t>Latin American Research Review</w:t>
      </w:r>
      <w:r>
        <w:rPr>
          <w:rFonts w:ascii="Garamond" w:hAnsi="Garamond"/>
          <w:sz w:val="24"/>
          <w:szCs w:val="24"/>
        </w:rPr>
        <w:t>, 36</w:t>
      </w:r>
      <w:proofErr w:type="gramStart"/>
      <w:r>
        <w:rPr>
          <w:rFonts w:ascii="Garamond" w:hAnsi="Garamond"/>
          <w:sz w:val="24"/>
          <w:szCs w:val="24"/>
        </w:rPr>
        <w:t>( 1</w:t>
      </w:r>
      <w:proofErr w:type="gramEnd"/>
      <w:r>
        <w:rPr>
          <w:rFonts w:ascii="Garamond" w:hAnsi="Garamond"/>
          <w:sz w:val="24"/>
          <w:szCs w:val="24"/>
        </w:rPr>
        <w:t>) :</w:t>
      </w:r>
      <w:r w:rsidRPr="00E34AB0">
        <w:rPr>
          <w:rFonts w:ascii="Garamond" w:hAnsi="Garamond"/>
          <w:sz w:val="24"/>
          <w:szCs w:val="24"/>
        </w:rPr>
        <w:t>1</w:t>
      </w:r>
      <w:r>
        <w:rPr>
          <w:rFonts w:ascii="Garamond" w:hAnsi="Garamond"/>
          <w:sz w:val="24"/>
          <w:szCs w:val="24"/>
        </w:rPr>
        <w:t>07-127.</w:t>
      </w:r>
    </w:p>
    <w:p w:rsidR="006B1E9B" w:rsidRPr="00F63112" w:rsidRDefault="006B1E9B" w:rsidP="001E7161">
      <w:pPr>
        <w:spacing w:before="100" w:beforeAutospacing="1" w:after="100" w:afterAutospacing="1" w:line="240" w:lineRule="auto"/>
        <w:rPr>
          <w:rFonts w:ascii="Times New Roman" w:eastAsia="Times New Roman" w:hAnsi="Times New Roman"/>
          <w:sz w:val="24"/>
          <w:szCs w:val="24"/>
          <w:lang w:val="es-CO"/>
        </w:rPr>
      </w:pPr>
      <w:r w:rsidRPr="00677B18">
        <w:rPr>
          <w:rFonts w:ascii="Times New Roman" w:eastAsia="Times New Roman" w:hAnsi="Times New Roman"/>
          <w:sz w:val="24"/>
          <w:szCs w:val="24"/>
          <w:lang w:val="es-CO"/>
        </w:rPr>
        <w:br/>
      </w:r>
      <w:r w:rsidR="003C7F34" w:rsidRPr="00F63112">
        <w:rPr>
          <w:rFonts w:ascii="Garamond" w:hAnsi="Garamond"/>
          <w:sz w:val="24"/>
          <w:szCs w:val="24"/>
          <w:lang w:val="es-CO"/>
        </w:rPr>
        <w:t>ENADID Encuesta Nacional de la Dinámica Demográfica, INEGI</w:t>
      </w:r>
    </w:p>
    <w:p w:rsidR="0001558B" w:rsidRPr="00F63112" w:rsidRDefault="0001558B" w:rsidP="001E7161">
      <w:pPr>
        <w:spacing w:before="100" w:beforeAutospacing="1" w:after="100" w:afterAutospacing="1" w:line="240" w:lineRule="auto"/>
        <w:rPr>
          <w:rFonts w:ascii="Times New Roman" w:eastAsia="Times New Roman" w:hAnsi="Times New Roman"/>
          <w:sz w:val="24"/>
          <w:szCs w:val="24"/>
          <w:lang w:val="es-CO"/>
        </w:rPr>
      </w:pPr>
      <w:r w:rsidRPr="00F63112">
        <w:rPr>
          <w:rFonts w:ascii="Times New Roman" w:eastAsia="Times New Roman" w:hAnsi="Times New Roman"/>
          <w:sz w:val="24"/>
          <w:szCs w:val="24"/>
          <w:lang w:val="es-CO"/>
        </w:rPr>
        <w:t>ENE</w:t>
      </w:r>
      <w:r w:rsidR="00856D88" w:rsidRPr="00F63112">
        <w:rPr>
          <w:rFonts w:ascii="Times New Roman" w:eastAsia="Times New Roman" w:hAnsi="Times New Roman"/>
          <w:sz w:val="24"/>
          <w:szCs w:val="24"/>
          <w:lang w:val="es-CO"/>
        </w:rPr>
        <w:t xml:space="preserve"> </w:t>
      </w:r>
      <w:r w:rsidR="00856D88" w:rsidRPr="00F63112">
        <w:rPr>
          <w:rFonts w:ascii="Garamond" w:eastAsia="Times New Roman" w:hAnsi="Garamond"/>
          <w:sz w:val="24"/>
          <w:szCs w:val="24"/>
          <w:lang w:val="es-CO"/>
        </w:rPr>
        <w:t>Encuesta Nacional de Empleo, INEGI</w:t>
      </w:r>
    </w:p>
    <w:p w:rsidR="00DD32CB" w:rsidRPr="0090060A" w:rsidRDefault="0090060A" w:rsidP="001E7161">
      <w:pPr>
        <w:spacing w:after="0" w:line="240" w:lineRule="auto"/>
        <w:rPr>
          <w:rFonts w:ascii="Garamond" w:hAnsi="Garamond"/>
          <w:sz w:val="24"/>
          <w:szCs w:val="24"/>
          <w:lang w:val="es-CO"/>
        </w:rPr>
      </w:pPr>
      <w:r w:rsidRPr="0090060A">
        <w:rPr>
          <w:rFonts w:ascii="Garamond" w:hAnsi="Garamond"/>
          <w:sz w:val="24"/>
          <w:szCs w:val="24"/>
          <w:lang w:val="es-CO"/>
        </w:rPr>
        <w:lastRenderedPageBreak/>
        <w:t>EMIF. El Colegio de la Frontera Norte, Secretaría del Trabajo y Previsión Social, Consejo Nacional de Población, Instituto Nacional de Migración, Secretaría de  Relaciones Exteriores, Encuesta sobre Migración en la Frontera Norte de México,</w:t>
      </w:r>
      <w:r>
        <w:rPr>
          <w:rFonts w:ascii="Garamond" w:hAnsi="Garamond"/>
          <w:sz w:val="24"/>
          <w:szCs w:val="24"/>
          <w:lang w:val="es-CO"/>
        </w:rPr>
        <w:t xml:space="preserve"> </w:t>
      </w:r>
      <w:hyperlink r:id="rId58" w:tgtFrame="_blank" w:history="1">
        <w:r w:rsidRPr="0090060A">
          <w:rPr>
            <w:rFonts w:ascii="Garamond" w:hAnsi="Garamond"/>
            <w:sz w:val="24"/>
            <w:szCs w:val="24"/>
            <w:lang w:val="es-CO"/>
          </w:rPr>
          <w:t>www.colef.mx/emif</w:t>
        </w:r>
      </w:hyperlink>
      <w:r w:rsidRPr="0090060A">
        <w:rPr>
          <w:rFonts w:ascii="Garamond" w:hAnsi="Garamond"/>
          <w:sz w:val="24"/>
          <w:szCs w:val="24"/>
          <w:lang w:val="es-CO"/>
        </w:rPr>
        <w:t>.</w:t>
      </w:r>
    </w:p>
    <w:p w:rsidR="0090060A" w:rsidRPr="0090060A" w:rsidRDefault="0090060A" w:rsidP="001E7161">
      <w:pPr>
        <w:spacing w:after="0" w:line="240" w:lineRule="auto"/>
        <w:rPr>
          <w:rFonts w:ascii="Garamond" w:hAnsi="Garamond"/>
          <w:sz w:val="24"/>
          <w:szCs w:val="24"/>
          <w:lang w:val="es-CO"/>
        </w:rPr>
      </w:pPr>
    </w:p>
    <w:p w:rsidR="00DD32CB" w:rsidRDefault="00DD32CB" w:rsidP="001E7161">
      <w:pPr>
        <w:spacing w:after="0" w:line="240" w:lineRule="auto"/>
        <w:rPr>
          <w:rFonts w:ascii="Garamond" w:hAnsi="Garamond"/>
          <w:sz w:val="24"/>
          <w:szCs w:val="24"/>
        </w:rPr>
      </w:pPr>
      <w:r w:rsidRPr="00DD32CB">
        <w:rPr>
          <w:rFonts w:ascii="Garamond" w:hAnsi="Garamond"/>
          <w:sz w:val="24"/>
          <w:szCs w:val="24"/>
        </w:rPr>
        <w:t>Goldin, Claudia. 1991</w:t>
      </w:r>
      <w:r w:rsidR="00591152">
        <w:rPr>
          <w:rFonts w:ascii="Garamond" w:hAnsi="Garamond"/>
          <w:sz w:val="24"/>
          <w:szCs w:val="24"/>
        </w:rPr>
        <w:t xml:space="preserve">. </w:t>
      </w:r>
      <w:r w:rsidRPr="00DD32CB">
        <w:rPr>
          <w:rFonts w:ascii="Garamond" w:hAnsi="Garamond"/>
          <w:sz w:val="24"/>
          <w:szCs w:val="24"/>
        </w:rPr>
        <w:t xml:space="preserve"> "The Role of World War II in the Rise of Women's Employment</w:t>
      </w:r>
      <w:r w:rsidR="00591152">
        <w:rPr>
          <w:rFonts w:ascii="Garamond" w:hAnsi="Garamond"/>
          <w:sz w:val="24"/>
          <w:szCs w:val="24"/>
        </w:rPr>
        <w:t xml:space="preserve">.” </w:t>
      </w:r>
      <w:r w:rsidRPr="00C92BD9">
        <w:rPr>
          <w:rFonts w:ascii="Garamond" w:hAnsi="Garamond"/>
          <w:i/>
          <w:sz w:val="24"/>
          <w:szCs w:val="24"/>
        </w:rPr>
        <w:t>American Economic Review</w:t>
      </w:r>
      <w:r w:rsidR="00591152">
        <w:rPr>
          <w:rFonts w:ascii="Garamond" w:hAnsi="Garamond"/>
          <w:sz w:val="24"/>
          <w:szCs w:val="24"/>
        </w:rPr>
        <w:t>,</w:t>
      </w:r>
      <w:r w:rsidRPr="00DD32CB">
        <w:rPr>
          <w:rFonts w:ascii="Garamond" w:hAnsi="Garamond"/>
          <w:sz w:val="24"/>
          <w:szCs w:val="24"/>
        </w:rPr>
        <w:t xml:space="preserve"> 81 (4): 741-56.</w:t>
      </w:r>
    </w:p>
    <w:p w:rsidR="00B04435" w:rsidRDefault="00B04435" w:rsidP="001E7161">
      <w:pPr>
        <w:spacing w:after="0" w:line="240" w:lineRule="auto"/>
        <w:jc w:val="both"/>
        <w:rPr>
          <w:rFonts w:ascii="Garamond" w:hAnsi="Garamond"/>
          <w:sz w:val="24"/>
          <w:szCs w:val="24"/>
        </w:rPr>
      </w:pPr>
      <w:r>
        <w:rPr>
          <w:rFonts w:ascii="Garamond" w:hAnsi="Garamond"/>
          <w:sz w:val="24"/>
          <w:szCs w:val="24"/>
        </w:rPr>
        <w:t>Goldin, Claudia. 2006</w:t>
      </w:r>
      <w:r w:rsidR="00591152">
        <w:rPr>
          <w:rFonts w:ascii="Garamond" w:hAnsi="Garamond"/>
          <w:sz w:val="24"/>
          <w:szCs w:val="24"/>
        </w:rPr>
        <w:t xml:space="preserve">. </w:t>
      </w:r>
      <w:r w:rsidRPr="00DD32CB">
        <w:rPr>
          <w:rFonts w:ascii="Garamond" w:hAnsi="Garamond"/>
          <w:sz w:val="24"/>
          <w:szCs w:val="24"/>
        </w:rPr>
        <w:t xml:space="preserve"> </w:t>
      </w:r>
      <w:r w:rsidR="00C92BD9">
        <w:rPr>
          <w:rFonts w:ascii="Garamond" w:hAnsi="Garamond"/>
          <w:sz w:val="24"/>
          <w:szCs w:val="24"/>
        </w:rPr>
        <w:t>“</w:t>
      </w:r>
      <w:r w:rsidRPr="00B04435">
        <w:rPr>
          <w:rFonts w:ascii="Garamond" w:hAnsi="Garamond"/>
          <w:sz w:val="24"/>
          <w:szCs w:val="24"/>
        </w:rPr>
        <w:t>The Quiet Revolution That</w:t>
      </w:r>
      <w:r>
        <w:rPr>
          <w:rFonts w:ascii="Garamond" w:hAnsi="Garamond"/>
          <w:sz w:val="24"/>
          <w:szCs w:val="24"/>
        </w:rPr>
        <w:t xml:space="preserve"> </w:t>
      </w:r>
      <w:r w:rsidRPr="00B04435">
        <w:rPr>
          <w:rFonts w:ascii="Garamond" w:hAnsi="Garamond"/>
          <w:sz w:val="24"/>
          <w:szCs w:val="24"/>
        </w:rPr>
        <w:t>Transformed Wom</w:t>
      </w:r>
      <w:r>
        <w:rPr>
          <w:rFonts w:ascii="Garamond" w:hAnsi="Garamond"/>
          <w:sz w:val="24"/>
          <w:szCs w:val="24"/>
        </w:rPr>
        <w:t xml:space="preserve">en’s Employment, Education, and </w:t>
      </w:r>
      <w:r w:rsidRPr="00B04435">
        <w:rPr>
          <w:rFonts w:ascii="Garamond" w:hAnsi="Garamond"/>
          <w:sz w:val="24"/>
          <w:szCs w:val="24"/>
        </w:rPr>
        <w:t>Family</w:t>
      </w:r>
      <w:r w:rsidR="00591152">
        <w:rPr>
          <w:rFonts w:ascii="Garamond" w:hAnsi="Garamond"/>
          <w:sz w:val="24"/>
          <w:szCs w:val="24"/>
        </w:rPr>
        <w:t>.</w:t>
      </w:r>
      <w:r w:rsidR="00591152" w:rsidRPr="00C92BD9">
        <w:rPr>
          <w:rFonts w:ascii="Garamond" w:hAnsi="Garamond"/>
          <w:sz w:val="24"/>
          <w:szCs w:val="24"/>
        </w:rPr>
        <w:t>”</w:t>
      </w:r>
      <w:r w:rsidR="00591152">
        <w:rPr>
          <w:rFonts w:ascii="Garamond" w:hAnsi="Garamond"/>
          <w:sz w:val="24"/>
          <w:szCs w:val="24"/>
        </w:rPr>
        <w:t xml:space="preserve"> </w:t>
      </w:r>
      <w:r w:rsidRPr="00C92BD9">
        <w:rPr>
          <w:rFonts w:ascii="Garamond" w:hAnsi="Garamond"/>
          <w:i/>
          <w:sz w:val="24"/>
          <w:szCs w:val="24"/>
        </w:rPr>
        <w:t>American Economic Review</w:t>
      </w:r>
      <w:r w:rsidR="00591152">
        <w:rPr>
          <w:rFonts w:ascii="Garamond" w:hAnsi="Garamond"/>
          <w:sz w:val="24"/>
          <w:szCs w:val="24"/>
        </w:rPr>
        <w:t>,</w:t>
      </w:r>
      <w:r>
        <w:rPr>
          <w:rFonts w:ascii="Garamond" w:hAnsi="Garamond"/>
          <w:sz w:val="24"/>
          <w:szCs w:val="24"/>
        </w:rPr>
        <w:t xml:space="preserve"> 96 (2): 1-21</w:t>
      </w:r>
      <w:r w:rsidRPr="00DD32CB">
        <w:rPr>
          <w:rFonts w:ascii="Garamond" w:hAnsi="Garamond"/>
          <w:sz w:val="24"/>
          <w:szCs w:val="24"/>
        </w:rPr>
        <w:t>.</w:t>
      </w:r>
    </w:p>
    <w:p w:rsidR="002B7D61" w:rsidRPr="00DD32CB" w:rsidRDefault="002B7D61" w:rsidP="001E7161">
      <w:pPr>
        <w:spacing w:after="0" w:line="240" w:lineRule="auto"/>
        <w:rPr>
          <w:rFonts w:ascii="Garamond" w:hAnsi="Garamond"/>
          <w:sz w:val="24"/>
          <w:szCs w:val="24"/>
        </w:rPr>
      </w:pPr>
    </w:p>
    <w:p w:rsidR="00DD32CB" w:rsidRPr="00DD32CB" w:rsidRDefault="00DD32CB" w:rsidP="001E7161">
      <w:pPr>
        <w:spacing w:after="0" w:line="240" w:lineRule="auto"/>
        <w:rPr>
          <w:rFonts w:ascii="Garamond" w:hAnsi="Garamond"/>
          <w:sz w:val="24"/>
          <w:szCs w:val="24"/>
        </w:rPr>
      </w:pPr>
      <w:proofErr w:type="spellStart"/>
      <w:proofErr w:type="gramStart"/>
      <w:r w:rsidRPr="00DD32CB">
        <w:rPr>
          <w:rFonts w:ascii="Garamond" w:hAnsi="Garamond"/>
          <w:sz w:val="24"/>
          <w:szCs w:val="24"/>
        </w:rPr>
        <w:t>Juhn</w:t>
      </w:r>
      <w:proofErr w:type="spellEnd"/>
      <w:r w:rsidRPr="00DD32CB">
        <w:rPr>
          <w:rFonts w:ascii="Garamond" w:hAnsi="Garamond"/>
          <w:sz w:val="24"/>
          <w:szCs w:val="24"/>
        </w:rPr>
        <w:t xml:space="preserve">, </w:t>
      </w:r>
      <w:proofErr w:type="spellStart"/>
      <w:r w:rsidRPr="00DD32CB">
        <w:rPr>
          <w:rFonts w:ascii="Garamond" w:hAnsi="Garamond"/>
          <w:sz w:val="24"/>
          <w:szCs w:val="24"/>
        </w:rPr>
        <w:t>Chinhui</w:t>
      </w:r>
      <w:proofErr w:type="spellEnd"/>
      <w:r w:rsidRPr="00DD32CB">
        <w:rPr>
          <w:rFonts w:ascii="Garamond" w:hAnsi="Garamond"/>
          <w:sz w:val="24"/>
          <w:szCs w:val="24"/>
        </w:rPr>
        <w:t xml:space="preserve">, </w:t>
      </w:r>
      <w:proofErr w:type="spellStart"/>
      <w:r w:rsidRPr="00DD32CB">
        <w:rPr>
          <w:rFonts w:ascii="Garamond" w:hAnsi="Garamond"/>
          <w:sz w:val="24"/>
          <w:szCs w:val="24"/>
        </w:rPr>
        <w:t>Gergely</w:t>
      </w:r>
      <w:proofErr w:type="spellEnd"/>
      <w:r w:rsidRPr="00DD32CB">
        <w:rPr>
          <w:rFonts w:ascii="Garamond" w:hAnsi="Garamond"/>
          <w:sz w:val="24"/>
          <w:szCs w:val="24"/>
        </w:rPr>
        <w:t xml:space="preserve"> </w:t>
      </w:r>
      <w:proofErr w:type="spellStart"/>
      <w:r w:rsidRPr="00DD32CB">
        <w:rPr>
          <w:rFonts w:ascii="Garamond" w:hAnsi="Garamond"/>
          <w:sz w:val="24"/>
          <w:szCs w:val="24"/>
        </w:rPr>
        <w:t>Ujhelyi</w:t>
      </w:r>
      <w:proofErr w:type="spellEnd"/>
      <w:r w:rsidRPr="00DD32CB">
        <w:rPr>
          <w:rFonts w:ascii="Garamond" w:hAnsi="Garamond"/>
          <w:sz w:val="24"/>
          <w:szCs w:val="24"/>
        </w:rPr>
        <w:t xml:space="preserve"> and Carolina Villegas-Sanchez.</w:t>
      </w:r>
      <w:proofErr w:type="gramEnd"/>
      <w:r w:rsidRPr="00DD32CB">
        <w:rPr>
          <w:rFonts w:ascii="Garamond" w:hAnsi="Garamond"/>
          <w:sz w:val="24"/>
          <w:szCs w:val="24"/>
        </w:rPr>
        <w:t xml:space="preserve"> 2013</w:t>
      </w:r>
      <w:r w:rsidR="00591152">
        <w:rPr>
          <w:rFonts w:ascii="Garamond" w:hAnsi="Garamond"/>
          <w:sz w:val="24"/>
          <w:szCs w:val="24"/>
        </w:rPr>
        <w:t xml:space="preserve">. </w:t>
      </w:r>
      <w:r w:rsidR="00C92BD9">
        <w:rPr>
          <w:rFonts w:ascii="Garamond" w:hAnsi="Garamond"/>
          <w:sz w:val="24"/>
          <w:szCs w:val="24"/>
        </w:rPr>
        <w:t xml:space="preserve"> “</w:t>
      </w:r>
      <w:r w:rsidRPr="00DD32CB">
        <w:rPr>
          <w:rFonts w:ascii="Garamond" w:hAnsi="Garamond"/>
          <w:sz w:val="24"/>
          <w:szCs w:val="24"/>
        </w:rPr>
        <w:t>Trade Liberalization and Gender Inequality</w:t>
      </w:r>
      <w:r w:rsidR="00591152">
        <w:rPr>
          <w:rFonts w:ascii="Garamond" w:hAnsi="Garamond"/>
          <w:sz w:val="24"/>
          <w:szCs w:val="24"/>
        </w:rPr>
        <w:t xml:space="preserve">.” </w:t>
      </w:r>
      <w:r w:rsidRPr="00C92BD9">
        <w:rPr>
          <w:rFonts w:ascii="Garamond" w:hAnsi="Garamond"/>
          <w:i/>
          <w:sz w:val="24"/>
          <w:szCs w:val="24"/>
        </w:rPr>
        <w:t>Am</w:t>
      </w:r>
      <w:r w:rsidR="00C92BD9" w:rsidRPr="00C92BD9">
        <w:rPr>
          <w:rFonts w:ascii="Garamond" w:hAnsi="Garamond"/>
          <w:i/>
          <w:sz w:val="24"/>
          <w:szCs w:val="24"/>
        </w:rPr>
        <w:t xml:space="preserve">erican Economic Review: Papers </w:t>
      </w:r>
      <w:r w:rsidRPr="00C92BD9">
        <w:rPr>
          <w:rFonts w:ascii="Garamond" w:hAnsi="Garamond"/>
          <w:i/>
          <w:sz w:val="24"/>
          <w:szCs w:val="24"/>
        </w:rPr>
        <w:t>&amp; Proceedings</w:t>
      </w:r>
      <w:r w:rsidR="00591152">
        <w:rPr>
          <w:rFonts w:ascii="Garamond" w:hAnsi="Garamond"/>
          <w:sz w:val="24"/>
          <w:szCs w:val="24"/>
        </w:rPr>
        <w:t>,</w:t>
      </w:r>
      <w:r w:rsidRPr="00DD32CB">
        <w:rPr>
          <w:rFonts w:ascii="Garamond" w:hAnsi="Garamond"/>
          <w:sz w:val="24"/>
          <w:szCs w:val="24"/>
        </w:rPr>
        <w:t xml:space="preserve"> 103(3): 269-273.</w:t>
      </w:r>
    </w:p>
    <w:p w:rsidR="00DD32CB" w:rsidRPr="00DD32CB" w:rsidRDefault="00DD32CB" w:rsidP="001E7161">
      <w:pPr>
        <w:spacing w:after="0" w:line="240" w:lineRule="auto"/>
        <w:rPr>
          <w:rFonts w:ascii="Garamond" w:hAnsi="Garamond"/>
          <w:sz w:val="24"/>
          <w:szCs w:val="24"/>
        </w:rPr>
      </w:pPr>
    </w:p>
    <w:p w:rsidR="00DD32CB" w:rsidRDefault="00DD32CB" w:rsidP="001E7161">
      <w:pPr>
        <w:spacing w:after="0" w:line="240" w:lineRule="auto"/>
        <w:rPr>
          <w:rFonts w:ascii="Garamond" w:hAnsi="Garamond"/>
          <w:sz w:val="24"/>
          <w:szCs w:val="24"/>
        </w:rPr>
      </w:pPr>
      <w:proofErr w:type="spellStart"/>
      <w:proofErr w:type="gramStart"/>
      <w:r w:rsidRPr="00DD32CB">
        <w:rPr>
          <w:rFonts w:ascii="Garamond" w:hAnsi="Garamond"/>
          <w:sz w:val="24"/>
          <w:szCs w:val="24"/>
        </w:rPr>
        <w:t>Juhn</w:t>
      </w:r>
      <w:proofErr w:type="spellEnd"/>
      <w:r w:rsidRPr="00DD32CB">
        <w:rPr>
          <w:rFonts w:ascii="Garamond" w:hAnsi="Garamond"/>
          <w:sz w:val="24"/>
          <w:szCs w:val="24"/>
        </w:rPr>
        <w:t xml:space="preserve">, </w:t>
      </w:r>
      <w:proofErr w:type="spellStart"/>
      <w:r w:rsidRPr="00DD32CB">
        <w:rPr>
          <w:rFonts w:ascii="Garamond" w:hAnsi="Garamond"/>
          <w:sz w:val="24"/>
          <w:szCs w:val="24"/>
        </w:rPr>
        <w:t>Chinhui</w:t>
      </w:r>
      <w:proofErr w:type="spellEnd"/>
      <w:r w:rsidRPr="00DD32CB">
        <w:rPr>
          <w:rFonts w:ascii="Garamond" w:hAnsi="Garamond"/>
          <w:sz w:val="24"/>
          <w:szCs w:val="24"/>
        </w:rPr>
        <w:t xml:space="preserve">, </w:t>
      </w:r>
      <w:proofErr w:type="spellStart"/>
      <w:r w:rsidRPr="00DD32CB">
        <w:rPr>
          <w:rFonts w:ascii="Garamond" w:hAnsi="Garamond"/>
          <w:sz w:val="24"/>
          <w:szCs w:val="24"/>
        </w:rPr>
        <w:t>Gergely</w:t>
      </w:r>
      <w:proofErr w:type="spellEnd"/>
      <w:r w:rsidRPr="00DD32CB">
        <w:rPr>
          <w:rFonts w:ascii="Garamond" w:hAnsi="Garamond"/>
          <w:sz w:val="24"/>
          <w:szCs w:val="24"/>
        </w:rPr>
        <w:t xml:space="preserve"> </w:t>
      </w:r>
      <w:proofErr w:type="spellStart"/>
      <w:r w:rsidRPr="00DD32CB">
        <w:rPr>
          <w:rFonts w:ascii="Garamond" w:hAnsi="Garamond"/>
          <w:sz w:val="24"/>
          <w:szCs w:val="24"/>
        </w:rPr>
        <w:t>Ujhelyi</w:t>
      </w:r>
      <w:proofErr w:type="spellEnd"/>
      <w:r w:rsidRPr="00DD32CB">
        <w:rPr>
          <w:rFonts w:ascii="Garamond" w:hAnsi="Garamond"/>
          <w:sz w:val="24"/>
          <w:szCs w:val="24"/>
        </w:rPr>
        <w:t xml:space="preserve"> and Ca</w:t>
      </w:r>
      <w:r w:rsidR="00C92BD9">
        <w:rPr>
          <w:rFonts w:ascii="Garamond" w:hAnsi="Garamond"/>
          <w:sz w:val="24"/>
          <w:szCs w:val="24"/>
        </w:rPr>
        <w:t>rolina Villegas-Sanchez.</w:t>
      </w:r>
      <w:proofErr w:type="gramEnd"/>
      <w:r w:rsidR="00C92BD9">
        <w:rPr>
          <w:rFonts w:ascii="Garamond" w:hAnsi="Garamond"/>
          <w:sz w:val="24"/>
          <w:szCs w:val="24"/>
        </w:rPr>
        <w:t xml:space="preserve"> 2014. </w:t>
      </w:r>
      <w:r w:rsidRPr="00DD32CB">
        <w:rPr>
          <w:rFonts w:ascii="Garamond" w:hAnsi="Garamond"/>
          <w:sz w:val="24"/>
          <w:szCs w:val="24"/>
        </w:rPr>
        <w:t xml:space="preserve"> "Men, Women, and Machines: how trade impacts gender inequality."  </w:t>
      </w:r>
      <w:r w:rsidR="00591152">
        <w:rPr>
          <w:rFonts w:ascii="Garamond" w:hAnsi="Garamond"/>
          <w:sz w:val="24"/>
          <w:szCs w:val="24"/>
        </w:rPr>
        <w:t xml:space="preserve"> </w:t>
      </w:r>
      <w:r w:rsidRPr="00C92BD9">
        <w:rPr>
          <w:rFonts w:ascii="Garamond" w:hAnsi="Garamond"/>
          <w:i/>
          <w:sz w:val="24"/>
          <w:szCs w:val="24"/>
        </w:rPr>
        <w:t>Jou</w:t>
      </w:r>
      <w:r w:rsidR="00D54804" w:rsidRPr="00C92BD9">
        <w:rPr>
          <w:rFonts w:ascii="Garamond" w:hAnsi="Garamond"/>
          <w:i/>
          <w:sz w:val="24"/>
          <w:szCs w:val="24"/>
        </w:rPr>
        <w:t>rnal of Development Economics</w:t>
      </w:r>
      <w:r w:rsidR="00591152">
        <w:rPr>
          <w:rFonts w:ascii="Garamond" w:hAnsi="Garamond"/>
          <w:sz w:val="24"/>
          <w:szCs w:val="24"/>
        </w:rPr>
        <w:t>,</w:t>
      </w:r>
      <w:r w:rsidRPr="00DD32CB">
        <w:rPr>
          <w:rFonts w:ascii="Garamond" w:hAnsi="Garamond"/>
          <w:sz w:val="24"/>
          <w:szCs w:val="24"/>
        </w:rPr>
        <w:t xml:space="preserve"> 106: 179-193.</w:t>
      </w:r>
    </w:p>
    <w:p w:rsidR="00C92BD9" w:rsidRDefault="00C92BD9" w:rsidP="001E7161">
      <w:pPr>
        <w:spacing w:after="0" w:line="240" w:lineRule="auto"/>
        <w:rPr>
          <w:rFonts w:ascii="Garamond" w:hAnsi="Garamond"/>
          <w:sz w:val="24"/>
          <w:szCs w:val="24"/>
        </w:rPr>
      </w:pPr>
    </w:p>
    <w:p w:rsidR="00931EC0" w:rsidRDefault="00931EC0" w:rsidP="001E7161">
      <w:pPr>
        <w:spacing w:after="0" w:line="240" w:lineRule="auto"/>
        <w:rPr>
          <w:rFonts w:ascii="Garamond" w:hAnsi="Garamond"/>
          <w:sz w:val="24"/>
          <w:szCs w:val="24"/>
        </w:rPr>
      </w:pPr>
      <w:proofErr w:type="spellStart"/>
      <w:proofErr w:type="gramStart"/>
      <w:r>
        <w:rPr>
          <w:rFonts w:ascii="Garamond" w:hAnsi="Garamond"/>
          <w:sz w:val="24"/>
          <w:szCs w:val="24"/>
        </w:rPr>
        <w:t>Kaestner</w:t>
      </w:r>
      <w:proofErr w:type="spellEnd"/>
      <w:r>
        <w:rPr>
          <w:rFonts w:ascii="Garamond" w:hAnsi="Garamond"/>
          <w:sz w:val="24"/>
          <w:szCs w:val="24"/>
        </w:rPr>
        <w:t xml:space="preserve">, Robert and </w:t>
      </w:r>
      <w:proofErr w:type="spellStart"/>
      <w:r>
        <w:rPr>
          <w:rFonts w:ascii="Garamond" w:hAnsi="Garamond"/>
          <w:sz w:val="24"/>
          <w:szCs w:val="24"/>
        </w:rPr>
        <w:t>Ofer</w:t>
      </w:r>
      <w:proofErr w:type="spellEnd"/>
      <w:r>
        <w:rPr>
          <w:rFonts w:ascii="Garamond" w:hAnsi="Garamond"/>
          <w:sz w:val="24"/>
          <w:szCs w:val="24"/>
        </w:rPr>
        <w:t xml:space="preserve"> Malamud</w:t>
      </w:r>
      <w:r w:rsidR="0032110E">
        <w:rPr>
          <w:rFonts w:ascii="Garamond" w:hAnsi="Garamond"/>
          <w:sz w:val="24"/>
          <w:szCs w:val="24"/>
        </w:rPr>
        <w:t>.</w:t>
      </w:r>
      <w:proofErr w:type="gramEnd"/>
      <w:r w:rsidR="0032110E">
        <w:rPr>
          <w:rFonts w:ascii="Garamond" w:hAnsi="Garamond"/>
          <w:sz w:val="24"/>
          <w:szCs w:val="24"/>
        </w:rPr>
        <w:t xml:space="preserve"> 2014</w:t>
      </w:r>
      <w:r w:rsidR="00C92BD9">
        <w:rPr>
          <w:rFonts w:ascii="Garamond" w:hAnsi="Garamond"/>
          <w:sz w:val="24"/>
          <w:szCs w:val="24"/>
        </w:rPr>
        <w:t>.</w:t>
      </w:r>
      <w:r w:rsidR="0032110E" w:rsidRPr="0032110E">
        <w:rPr>
          <w:rFonts w:ascii="Garamond" w:hAnsi="Garamond"/>
          <w:sz w:val="24"/>
          <w:szCs w:val="24"/>
        </w:rPr>
        <w:t xml:space="preserve"> "</w:t>
      </w:r>
      <w:r w:rsidR="0032110E">
        <w:rPr>
          <w:rFonts w:ascii="Garamond" w:hAnsi="Garamond"/>
          <w:sz w:val="24"/>
          <w:szCs w:val="24"/>
        </w:rPr>
        <w:t>Self-Selection and International Migration: New Evidence from Mexico</w:t>
      </w:r>
      <w:r w:rsidR="00C92BD9">
        <w:rPr>
          <w:rFonts w:ascii="Garamond" w:hAnsi="Garamond"/>
          <w:sz w:val="24"/>
          <w:szCs w:val="24"/>
        </w:rPr>
        <w:t xml:space="preserve">." </w:t>
      </w:r>
      <w:r w:rsidR="0032110E" w:rsidRPr="00C92BD9">
        <w:rPr>
          <w:rFonts w:ascii="Garamond" w:hAnsi="Garamond"/>
          <w:i/>
          <w:sz w:val="24"/>
          <w:szCs w:val="24"/>
        </w:rPr>
        <w:t>The Review of Economics and Statistics</w:t>
      </w:r>
      <w:r w:rsidR="00591152">
        <w:rPr>
          <w:rFonts w:ascii="Garamond" w:hAnsi="Garamond"/>
          <w:sz w:val="24"/>
          <w:szCs w:val="24"/>
        </w:rPr>
        <w:t>,</w:t>
      </w:r>
      <w:r w:rsidR="00E07FD8">
        <w:rPr>
          <w:rFonts w:ascii="Garamond" w:hAnsi="Garamond"/>
          <w:sz w:val="24"/>
          <w:szCs w:val="24"/>
        </w:rPr>
        <w:t xml:space="preserve"> 96(1):78-91.</w:t>
      </w:r>
    </w:p>
    <w:p w:rsidR="00931EC0" w:rsidRPr="00DD32CB" w:rsidRDefault="00931EC0" w:rsidP="001E7161">
      <w:pPr>
        <w:spacing w:after="0" w:line="240" w:lineRule="auto"/>
        <w:rPr>
          <w:rFonts w:ascii="Garamond" w:hAnsi="Garamond"/>
          <w:sz w:val="24"/>
          <w:szCs w:val="24"/>
        </w:rPr>
      </w:pPr>
    </w:p>
    <w:p w:rsidR="005004DA" w:rsidRDefault="005004DA" w:rsidP="001E7161">
      <w:pPr>
        <w:spacing w:after="0" w:line="240" w:lineRule="auto"/>
        <w:rPr>
          <w:rFonts w:ascii="Garamond" w:hAnsi="Garamond"/>
          <w:sz w:val="24"/>
          <w:szCs w:val="24"/>
        </w:rPr>
      </w:pPr>
      <w:r w:rsidRPr="00DD32CB">
        <w:rPr>
          <w:rFonts w:ascii="Garamond" w:hAnsi="Garamond"/>
          <w:sz w:val="24"/>
          <w:szCs w:val="24"/>
        </w:rPr>
        <w:t xml:space="preserve">Mishra, </w:t>
      </w:r>
      <w:proofErr w:type="spellStart"/>
      <w:r w:rsidRPr="00DD32CB">
        <w:rPr>
          <w:rFonts w:ascii="Garamond" w:hAnsi="Garamond"/>
          <w:sz w:val="24"/>
          <w:szCs w:val="24"/>
        </w:rPr>
        <w:t>Prachi</w:t>
      </w:r>
      <w:proofErr w:type="spellEnd"/>
      <w:r w:rsidRPr="00DD32CB">
        <w:rPr>
          <w:rFonts w:ascii="Garamond" w:hAnsi="Garamond"/>
          <w:sz w:val="24"/>
          <w:szCs w:val="24"/>
        </w:rPr>
        <w:t>. 2007</w:t>
      </w:r>
      <w:r w:rsidR="00591152">
        <w:rPr>
          <w:rFonts w:ascii="Garamond" w:hAnsi="Garamond"/>
          <w:sz w:val="24"/>
          <w:szCs w:val="24"/>
        </w:rPr>
        <w:t xml:space="preserve">. </w:t>
      </w:r>
      <w:r w:rsidRPr="00DD32CB">
        <w:rPr>
          <w:rFonts w:ascii="Garamond" w:hAnsi="Garamond"/>
          <w:sz w:val="24"/>
          <w:szCs w:val="24"/>
        </w:rPr>
        <w:t>"</w:t>
      </w:r>
      <w:proofErr w:type="spellStart"/>
      <w:r w:rsidRPr="00DD32CB">
        <w:rPr>
          <w:rFonts w:ascii="Garamond" w:hAnsi="Garamond"/>
          <w:sz w:val="24"/>
          <w:szCs w:val="24"/>
        </w:rPr>
        <w:t>Emigation</w:t>
      </w:r>
      <w:proofErr w:type="spellEnd"/>
      <w:r w:rsidRPr="00DD32CB">
        <w:rPr>
          <w:rFonts w:ascii="Garamond" w:hAnsi="Garamond"/>
          <w:sz w:val="24"/>
          <w:szCs w:val="24"/>
        </w:rPr>
        <w:t xml:space="preserve"> and wages in source cou</w:t>
      </w:r>
      <w:r>
        <w:rPr>
          <w:rFonts w:ascii="Garamond" w:hAnsi="Garamond"/>
          <w:sz w:val="24"/>
          <w:szCs w:val="24"/>
        </w:rPr>
        <w:t>ntries: Evidence from Mexico</w:t>
      </w:r>
      <w:r w:rsidR="00591152">
        <w:rPr>
          <w:rFonts w:ascii="Garamond" w:hAnsi="Garamond"/>
          <w:sz w:val="24"/>
          <w:szCs w:val="24"/>
        </w:rPr>
        <w:t xml:space="preserve">.” </w:t>
      </w:r>
      <w:r w:rsidRPr="00C92BD9">
        <w:rPr>
          <w:rFonts w:ascii="Garamond" w:hAnsi="Garamond"/>
          <w:i/>
          <w:sz w:val="24"/>
          <w:szCs w:val="24"/>
        </w:rPr>
        <w:t>Journal of Development Economics</w:t>
      </w:r>
      <w:r w:rsidR="00591152">
        <w:rPr>
          <w:rFonts w:ascii="Garamond" w:hAnsi="Garamond"/>
          <w:sz w:val="24"/>
          <w:szCs w:val="24"/>
        </w:rPr>
        <w:t>,</w:t>
      </w:r>
      <w:r w:rsidRPr="00DD32CB">
        <w:rPr>
          <w:rFonts w:ascii="Garamond" w:hAnsi="Garamond"/>
          <w:sz w:val="24"/>
          <w:szCs w:val="24"/>
        </w:rPr>
        <w:t xml:space="preserve"> 82: 180-199.</w:t>
      </w:r>
    </w:p>
    <w:p w:rsidR="005004DA" w:rsidRDefault="005004DA" w:rsidP="001E7161">
      <w:pPr>
        <w:spacing w:after="0" w:line="240" w:lineRule="auto"/>
        <w:rPr>
          <w:rFonts w:ascii="Garamond" w:hAnsi="Garamond"/>
          <w:sz w:val="24"/>
          <w:szCs w:val="24"/>
        </w:rPr>
      </w:pPr>
    </w:p>
    <w:p w:rsidR="005004DA" w:rsidRDefault="005004DA" w:rsidP="001E7161">
      <w:pPr>
        <w:spacing w:after="0" w:line="240" w:lineRule="auto"/>
        <w:rPr>
          <w:rFonts w:ascii="Garamond" w:hAnsi="Garamond"/>
          <w:sz w:val="24"/>
          <w:szCs w:val="24"/>
        </w:rPr>
      </w:pPr>
      <w:proofErr w:type="spellStart"/>
      <w:r w:rsidRPr="0001558B">
        <w:rPr>
          <w:rFonts w:ascii="Garamond" w:hAnsi="Garamond"/>
          <w:sz w:val="24"/>
          <w:szCs w:val="24"/>
        </w:rPr>
        <w:t>Matriculas</w:t>
      </w:r>
      <w:proofErr w:type="spellEnd"/>
      <w:r w:rsidRPr="0001558B">
        <w:rPr>
          <w:rFonts w:ascii="Garamond" w:hAnsi="Garamond"/>
          <w:sz w:val="24"/>
          <w:szCs w:val="24"/>
        </w:rPr>
        <w:t xml:space="preserve"> </w:t>
      </w:r>
      <w:proofErr w:type="spellStart"/>
      <w:r w:rsidRPr="0001558B">
        <w:rPr>
          <w:rFonts w:ascii="Garamond" w:hAnsi="Garamond"/>
          <w:sz w:val="24"/>
          <w:szCs w:val="24"/>
        </w:rPr>
        <w:t>Consulares</w:t>
      </w:r>
      <w:proofErr w:type="spellEnd"/>
      <w:r w:rsidRPr="0001558B">
        <w:rPr>
          <w:rFonts w:ascii="Garamond" w:hAnsi="Garamond"/>
          <w:sz w:val="24"/>
          <w:szCs w:val="24"/>
        </w:rPr>
        <w:t xml:space="preserve"> </w:t>
      </w:r>
      <w:r w:rsidR="0001558B" w:rsidRPr="0001558B">
        <w:rPr>
          <w:rFonts w:ascii="Garamond" w:hAnsi="Garamond"/>
          <w:sz w:val="24"/>
          <w:szCs w:val="24"/>
        </w:rPr>
        <w:t>http://www.ime.gob.mx/es/estadisticas-de-mexicanos-en-estados-unidos</w:t>
      </w:r>
    </w:p>
    <w:p w:rsidR="0001558B" w:rsidRDefault="0001558B" w:rsidP="001E7161">
      <w:pPr>
        <w:spacing w:after="0" w:line="240" w:lineRule="auto"/>
        <w:rPr>
          <w:rFonts w:ascii="Garamond" w:hAnsi="Garamond"/>
          <w:sz w:val="24"/>
          <w:szCs w:val="24"/>
        </w:rPr>
      </w:pPr>
    </w:p>
    <w:p w:rsidR="00E34AB0" w:rsidRDefault="00E34AB0" w:rsidP="001E7161">
      <w:pPr>
        <w:spacing w:after="0" w:line="240" w:lineRule="auto"/>
        <w:rPr>
          <w:rFonts w:ascii="Garamond" w:hAnsi="Garamond"/>
          <w:sz w:val="24"/>
          <w:szCs w:val="24"/>
        </w:rPr>
      </w:pPr>
    </w:p>
    <w:p w:rsidR="00DD32CB" w:rsidRDefault="004575E0" w:rsidP="001E7161">
      <w:pPr>
        <w:spacing w:after="0" w:line="240" w:lineRule="auto"/>
        <w:rPr>
          <w:rFonts w:ascii="Garamond" w:hAnsi="Garamond"/>
          <w:sz w:val="24"/>
          <w:szCs w:val="24"/>
        </w:rPr>
      </w:pPr>
      <w:proofErr w:type="gramStart"/>
      <w:r w:rsidRPr="004575E0">
        <w:rPr>
          <w:rFonts w:ascii="Garamond" w:hAnsi="Garamond"/>
          <w:sz w:val="24"/>
          <w:szCs w:val="24"/>
        </w:rPr>
        <w:t>Minnesota Population Center.</w:t>
      </w:r>
      <w:proofErr w:type="gramEnd"/>
      <w:r w:rsidRPr="004575E0">
        <w:rPr>
          <w:rFonts w:ascii="Garamond" w:hAnsi="Garamond"/>
          <w:sz w:val="24"/>
          <w:szCs w:val="24"/>
        </w:rPr>
        <w:t xml:space="preserve"> Integrated Public Use </w:t>
      </w:r>
      <w:proofErr w:type="spellStart"/>
      <w:r w:rsidRPr="004575E0">
        <w:rPr>
          <w:rFonts w:ascii="Garamond" w:hAnsi="Garamond"/>
          <w:sz w:val="24"/>
          <w:szCs w:val="24"/>
        </w:rPr>
        <w:t>Microdata</w:t>
      </w:r>
      <w:proofErr w:type="spellEnd"/>
      <w:r w:rsidRPr="004575E0">
        <w:rPr>
          <w:rFonts w:ascii="Garamond" w:hAnsi="Garamond"/>
          <w:sz w:val="24"/>
          <w:szCs w:val="24"/>
        </w:rPr>
        <w:t xml:space="preserve"> Series, International: Version 6.3 [Machine-readable database]. Minneapolis: University of Minnesota, 2014.</w:t>
      </w:r>
    </w:p>
    <w:p w:rsidR="004575E0" w:rsidRDefault="004575E0" w:rsidP="001E7161">
      <w:pPr>
        <w:spacing w:after="0" w:line="240" w:lineRule="auto"/>
        <w:rPr>
          <w:rFonts w:ascii="Garamond" w:hAnsi="Garamond"/>
          <w:sz w:val="24"/>
          <w:szCs w:val="24"/>
        </w:rPr>
      </w:pPr>
    </w:p>
    <w:p w:rsidR="00157369" w:rsidRDefault="00D54804" w:rsidP="001E7161">
      <w:pPr>
        <w:spacing w:after="0" w:line="240" w:lineRule="auto"/>
        <w:rPr>
          <w:rFonts w:ascii="Garamond" w:hAnsi="Garamond"/>
          <w:sz w:val="24"/>
          <w:szCs w:val="24"/>
        </w:rPr>
      </w:pPr>
      <w:proofErr w:type="gramStart"/>
      <w:r>
        <w:rPr>
          <w:rFonts w:ascii="Garamond" w:hAnsi="Garamond"/>
          <w:sz w:val="24"/>
          <w:szCs w:val="24"/>
        </w:rPr>
        <w:t xml:space="preserve">Pagan, Jose A. and Susana </w:t>
      </w:r>
      <w:proofErr w:type="spellStart"/>
      <w:r>
        <w:rPr>
          <w:rFonts w:ascii="Garamond" w:hAnsi="Garamond"/>
          <w:sz w:val="24"/>
          <w:szCs w:val="24"/>
        </w:rPr>
        <w:t>M.Sanchez</w:t>
      </w:r>
      <w:proofErr w:type="spellEnd"/>
      <w:r>
        <w:rPr>
          <w:rFonts w:ascii="Garamond" w:hAnsi="Garamond"/>
          <w:sz w:val="24"/>
          <w:szCs w:val="24"/>
        </w:rPr>
        <w:t>.</w:t>
      </w:r>
      <w:proofErr w:type="gramEnd"/>
      <w:r>
        <w:rPr>
          <w:rFonts w:ascii="Garamond" w:hAnsi="Garamond"/>
          <w:sz w:val="24"/>
          <w:szCs w:val="24"/>
        </w:rPr>
        <w:t xml:space="preserve"> 2000</w:t>
      </w:r>
      <w:r w:rsidR="00C92BD9">
        <w:rPr>
          <w:rFonts w:ascii="Garamond" w:hAnsi="Garamond"/>
          <w:sz w:val="24"/>
          <w:szCs w:val="24"/>
        </w:rPr>
        <w:t xml:space="preserve">. </w:t>
      </w:r>
      <w:r w:rsidRPr="00DD32CB">
        <w:rPr>
          <w:rFonts w:ascii="Garamond" w:hAnsi="Garamond"/>
          <w:sz w:val="24"/>
          <w:szCs w:val="24"/>
        </w:rPr>
        <w:t xml:space="preserve"> "</w:t>
      </w:r>
      <w:r w:rsidRPr="00D54804">
        <w:rPr>
          <w:rFonts w:ascii="Garamond" w:hAnsi="Garamond"/>
          <w:sz w:val="24"/>
          <w:szCs w:val="24"/>
        </w:rPr>
        <w:t>Gender Differences in Labor Market Decisi</w:t>
      </w:r>
      <w:r>
        <w:rPr>
          <w:rFonts w:ascii="Garamond" w:hAnsi="Garamond"/>
          <w:sz w:val="24"/>
          <w:szCs w:val="24"/>
        </w:rPr>
        <w:t>ons: Evidence from Rural Mexico</w:t>
      </w:r>
      <w:r w:rsidR="00C92BD9">
        <w:rPr>
          <w:rFonts w:ascii="Garamond" w:hAnsi="Garamond"/>
          <w:sz w:val="24"/>
          <w:szCs w:val="24"/>
        </w:rPr>
        <w:t xml:space="preserve">." </w:t>
      </w:r>
      <w:r w:rsidRPr="00C92BD9">
        <w:rPr>
          <w:rFonts w:ascii="Garamond" w:hAnsi="Garamond"/>
          <w:i/>
          <w:sz w:val="24"/>
          <w:szCs w:val="24"/>
        </w:rPr>
        <w:t>Economic Development and Cultural Change</w:t>
      </w:r>
      <w:r w:rsidR="00591152">
        <w:rPr>
          <w:rFonts w:ascii="Garamond" w:hAnsi="Garamond"/>
          <w:sz w:val="24"/>
          <w:szCs w:val="24"/>
        </w:rPr>
        <w:t>,</w:t>
      </w:r>
      <w:r>
        <w:rPr>
          <w:rFonts w:ascii="Garamond" w:hAnsi="Garamond"/>
          <w:sz w:val="24"/>
          <w:szCs w:val="24"/>
        </w:rPr>
        <w:t xml:space="preserve"> 48(3): 619-37</w:t>
      </w:r>
      <w:r w:rsidRPr="00D54804">
        <w:rPr>
          <w:rFonts w:ascii="Garamond" w:hAnsi="Garamond"/>
          <w:sz w:val="24"/>
          <w:szCs w:val="24"/>
        </w:rPr>
        <w:t>.</w:t>
      </w:r>
    </w:p>
    <w:p w:rsidR="005004DA" w:rsidRDefault="005004DA" w:rsidP="001E7161">
      <w:pPr>
        <w:spacing w:after="0" w:line="240" w:lineRule="auto"/>
        <w:rPr>
          <w:rFonts w:ascii="Garamond" w:hAnsi="Garamond"/>
          <w:sz w:val="24"/>
          <w:szCs w:val="24"/>
        </w:rPr>
      </w:pPr>
    </w:p>
    <w:p w:rsidR="0023342D" w:rsidRDefault="0023342D" w:rsidP="001E7161">
      <w:pPr>
        <w:spacing w:after="0" w:line="240" w:lineRule="auto"/>
        <w:rPr>
          <w:rFonts w:ascii="Garamond" w:hAnsi="Garamond"/>
          <w:sz w:val="24"/>
          <w:szCs w:val="24"/>
        </w:rPr>
      </w:pPr>
      <w:r>
        <w:rPr>
          <w:rFonts w:ascii="Garamond" w:hAnsi="Garamond"/>
          <w:sz w:val="24"/>
          <w:szCs w:val="24"/>
        </w:rPr>
        <w:t>Raphael, Steven. 2013</w:t>
      </w:r>
      <w:r w:rsidR="00591152">
        <w:rPr>
          <w:rFonts w:ascii="Garamond" w:hAnsi="Garamond"/>
          <w:sz w:val="24"/>
          <w:szCs w:val="24"/>
        </w:rPr>
        <w:t xml:space="preserve">. </w:t>
      </w:r>
      <w:r>
        <w:rPr>
          <w:rFonts w:ascii="Garamond" w:hAnsi="Garamond"/>
          <w:sz w:val="24"/>
          <w:szCs w:val="24"/>
        </w:rPr>
        <w:t xml:space="preserve"> "International Migration, Sex Ratios</w:t>
      </w:r>
      <w:r w:rsidR="00480F8C">
        <w:rPr>
          <w:rFonts w:ascii="Garamond" w:hAnsi="Garamond"/>
          <w:sz w:val="24"/>
          <w:szCs w:val="24"/>
        </w:rPr>
        <w:t xml:space="preserve"> and the Socioeconomic Outcomes of </w:t>
      </w:r>
      <w:proofErr w:type="spellStart"/>
      <w:r w:rsidR="00480F8C">
        <w:rPr>
          <w:rFonts w:ascii="Garamond" w:hAnsi="Garamond"/>
          <w:sz w:val="24"/>
          <w:szCs w:val="24"/>
        </w:rPr>
        <w:t>Nonmigrant</w:t>
      </w:r>
      <w:proofErr w:type="spellEnd"/>
      <w:r w:rsidR="00480F8C">
        <w:rPr>
          <w:rFonts w:ascii="Garamond" w:hAnsi="Garamond"/>
          <w:sz w:val="24"/>
          <w:szCs w:val="24"/>
        </w:rPr>
        <w:t xml:space="preserve"> Mexican Women</w:t>
      </w:r>
      <w:r w:rsidR="00591152">
        <w:rPr>
          <w:rFonts w:ascii="Garamond" w:hAnsi="Garamond"/>
          <w:sz w:val="24"/>
          <w:szCs w:val="24"/>
        </w:rPr>
        <w:t xml:space="preserve">.” </w:t>
      </w:r>
      <w:r w:rsidRPr="00C92BD9">
        <w:rPr>
          <w:rFonts w:ascii="Garamond" w:hAnsi="Garamond"/>
          <w:i/>
          <w:sz w:val="24"/>
          <w:szCs w:val="24"/>
        </w:rPr>
        <w:t>Demography</w:t>
      </w:r>
      <w:r w:rsidR="00591152">
        <w:rPr>
          <w:rFonts w:ascii="Garamond" w:hAnsi="Garamond"/>
          <w:sz w:val="24"/>
          <w:szCs w:val="24"/>
        </w:rPr>
        <w:t>,</w:t>
      </w:r>
      <w:r>
        <w:rPr>
          <w:rFonts w:ascii="Garamond" w:hAnsi="Garamond"/>
          <w:sz w:val="24"/>
          <w:szCs w:val="24"/>
        </w:rPr>
        <w:t xml:space="preserve"> 50: 971-</w:t>
      </w:r>
      <w:r w:rsidRPr="0023342D">
        <w:rPr>
          <w:rFonts w:ascii="Garamond" w:hAnsi="Garamond"/>
          <w:sz w:val="24"/>
          <w:szCs w:val="24"/>
        </w:rPr>
        <w:t>99</w:t>
      </w:r>
      <w:r>
        <w:rPr>
          <w:rFonts w:ascii="Garamond" w:hAnsi="Garamond"/>
          <w:sz w:val="24"/>
          <w:szCs w:val="24"/>
        </w:rPr>
        <w:t>1</w:t>
      </w:r>
      <w:r w:rsidRPr="0023342D">
        <w:rPr>
          <w:rFonts w:ascii="Garamond" w:hAnsi="Garamond"/>
          <w:sz w:val="24"/>
          <w:szCs w:val="24"/>
        </w:rPr>
        <w:t>.</w:t>
      </w:r>
    </w:p>
    <w:p w:rsidR="00B45D89" w:rsidRDefault="00B45D89" w:rsidP="001E7161">
      <w:pPr>
        <w:spacing w:after="0" w:line="240" w:lineRule="auto"/>
        <w:rPr>
          <w:rFonts w:ascii="Garamond" w:hAnsi="Garamond"/>
          <w:sz w:val="24"/>
          <w:szCs w:val="24"/>
        </w:rPr>
      </w:pPr>
    </w:p>
    <w:p w:rsidR="002D3B58" w:rsidRDefault="002D3B58" w:rsidP="001E7161">
      <w:pPr>
        <w:spacing w:after="0" w:line="240" w:lineRule="auto"/>
        <w:rPr>
          <w:rFonts w:ascii="Garamond" w:hAnsi="Garamond"/>
          <w:sz w:val="24"/>
          <w:szCs w:val="24"/>
        </w:rPr>
      </w:pPr>
      <w:proofErr w:type="spellStart"/>
      <w:r>
        <w:rPr>
          <w:rFonts w:ascii="Garamond" w:hAnsi="Garamond"/>
          <w:sz w:val="24"/>
          <w:szCs w:val="24"/>
        </w:rPr>
        <w:t>Rendall</w:t>
      </w:r>
      <w:proofErr w:type="spellEnd"/>
      <w:r>
        <w:rPr>
          <w:rFonts w:ascii="Garamond" w:hAnsi="Garamond"/>
          <w:sz w:val="24"/>
          <w:szCs w:val="24"/>
        </w:rPr>
        <w:t>, Michelle. 2013</w:t>
      </w:r>
      <w:r w:rsidR="00591152">
        <w:rPr>
          <w:rFonts w:ascii="Garamond" w:hAnsi="Garamond"/>
          <w:sz w:val="24"/>
          <w:szCs w:val="24"/>
        </w:rPr>
        <w:t xml:space="preserve">. </w:t>
      </w:r>
      <w:r w:rsidR="000F2CB5">
        <w:rPr>
          <w:rFonts w:ascii="Garamond" w:hAnsi="Garamond"/>
          <w:sz w:val="24"/>
          <w:szCs w:val="24"/>
        </w:rPr>
        <w:t xml:space="preserve"> "Structural Change in Developing Countries: Has it Decreased Gender Inequality?</w:t>
      </w:r>
      <w:r w:rsidR="000F2CB5" w:rsidRPr="0023342D">
        <w:rPr>
          <w:rFonts w:ascii="Garamond" w:hAnsi="Garamond"/>
          <w:sz w:val="24"/>
          <w:szCs w:val="24"/>
        </w:rPr>
        <w:t xml:space="preserve">" </w:t>
      </w:r>
      <w:r w:rsidR="000F2CB5" w:rsidRPr="00C92BD9">
        <w:rPr>
          <w:rFonts w:ascii="Garamond" w:hAnsi="Garamond"/>
          <w:i/>
          <w:sz w:val="24"/>
          <w:szCs w:val="24"/>
        </w:rPr>
        <w:t>World Development</w:t>
      </w:r>
      <w:r w:rsidR="00591152">
        <w:rPr>
          <w:rFonts w:ascii="Garamond" w:hAnsi="Garamond"/>
          <w:sz w:val="24"/>
          <w:szCs w:val="24"/>
        </w:rPr>
        <w:t>,</w:t>
      </w:r>
      <w:r w:rsidR="000F2CB5">
        <w:rPr>
          <w:rFonts w:ascii="Garamond" w:hAnsi="Garamond"/>
          <w:sz w:val="24"/>
          <w:szCs w:val="24"/>
        </w:rPr>
        <w:t xml:space="preserve"> 45:1-16</w:t>
      </w:r>
    </w:p>
    <w:p w:rsidR="002D3B58" w:rsidRDefault="002D3B58" w:rsidP="001E7161">
      <w:pPr>
        <w:spacing w:after="0" w:line="240" w:lineRule="auto"/>
        <w:rPr>
          <w:rFonts w:ascii="Garamond" w:hAnsi="Garamond"/>
          <w:sz w:val="24"/>
          <w:szCs w:val="24"/>
        </w:rPr>
      </w:pPr>
    </w:p>
    <w:p w:rsidR="006E423D" w:rsidRDefault="006E423D" w:rsidP="001E7161">
      <w:pPr>
        <w:spacing w:after="0" w:line="240" w:lineRule="auto"/>
        <w:rPr>
          <w:rFonts w:ascii="Garamond" w:hAnsi="Garamond"/>
          <w:sz w:val="24"/>
          <w:szCs w:val="24"/>
        </w:rPr>
      </w:pPr>
      <w:proofErr w:type="spellStart"/>
      <w:proofErr w:type="gramStart"/>
      <w:r>
        <w:rPr>
          <w:rFonts w:ascii="Garamond" w:hAnsi="Garamond"/>
          <w:sz w:val="24"/>
          <w:szCs w:val="24"/>
        </w:rPr>
        <w:t>Riosmena</w:t>
      </w:r>
      <w:proofErr w:type="spellEnd"/>
      <w:r>
        <w:rPr>
          <w:rFonts w:ascii="Garamond" w:hAnsi="Garamond"/>
          <w:sz w:val="24"/>
          <w:szCs w:val="24"/>
        </w:rPr>
        <w:t>, Fernando and Douglas S. Massey.</w:t>
      </w:r>
      <w:proofErr w:type="gramEnd"/>
      <w:r>
        <w:rPr>
          <w:rFonts w:ascii="Garamond" w:hAnsi="Garamond"/>
          <w:sz w:val="24"/>
          <w:szCs w:val="24"/>
        </w:rPr>
        <w:t xml:space="preserve"> 2010</w:t>
      </w:r>
      <w:r w:rsidR="00591152">
        <w:rPr>
          <w:rFonts w:ascii="Garamond" w:hAnsi="Garamond"/>
          <w:sz w:val="24"/>
          <w:szCs w:val="24"/>
        </w:rPr>
        <w:t xml:space="preserve">. </w:t>
      </w:r>
      <w:r>
        <w:rPr>
          <w:rFonts w:ascii="Garamond" w:hAnsi="Garamond"/>
          <w:sz w:val="24"/>
          <w:szCs w:val="24"/>
        </w:rPr>
        <w:t xml:space="preserve"> "</w:t>
      </w:r>
      <w:r w:rsidR="003800DA">
        <w:rPr>
          <w:rFonts w:ascii="Garamond" w:hAnsi="Garamond"/>
          <w:sz w:val="24"/>
          <w:szCs w:val="24"/>
        </w:rPr>
        <w:t>Pathways to El Norte: Origins, Destinations, and Characteristics of Mexican Migrants to the United States.</w:t>
      </w:r>
      <w:r w:rsidR="003800DA" w:rsidRPr="003800DA">
        <w:rPr>
          <w:rFonts w:ascii="Garamond" w:hAnsi="Garamond"/>
          <w:sz w:val="24"/>
          <w:szCs w:val="24"/>
        </w:rPr>
        <w:t xml:space="preserve"> </w:t>
      </w:r>
      <w:proofErr w:type="gramStart"/>
      <w:r w:rsidR="003800DA">
        <w:rPr>
          <w:rFonts w:ascii="Garamond" w:hAnsi="Garamond"/>
          <w:sz w:val="24"/>
          <w:szCs w:val="24"/>
        </w:rPr>
        <w:t>IBS Population Program Working Paper</w:t>
      </w:r>
      <w:r w:rsidR="00591152">
        <w:rPr>
          <w:rFonts w:ascii="Garamond" w:hAnsi="Garamond"/>
          <w:sz w:val="24"/>
          <w:szCs w:val="24"/>
        </w:rPr>
        <w:t>,</w:t>
      </w:r>
      <w:r w:rsidR="003800DA">
        <w:rPr>
          <w:rFonts w:ascii="Garamond" w:hAnsi="Garamond"/>
          <w:sz w:val="24"/>
          <w:szCs w:val="24"/>
        </w:rPr>
        <w:t xml:space="preserve"> University of Colorado at Boulder.</w:t>
      </w:r>
      <w:proofErr w:type="gramEnd"/>
    </w:p>
    <w:p w:rsidR="0060632D" w:rsidRDefault="0060632D" w:rsidP="001E7161">
      <w:pPr>
        <w:spacing w:after="0" w:line="240" w:lineRule="auto"/>
        <w:rPr>
          <w:rFonts w:ascii="Garamond" w:hAnsi="Garamond"/>
          <w:sz w:val="24"/>
          <w:szCs w:val="24"/>
        </w:rPr>
      </w:pPr>
    </w:p>
    <w:p w:rsidR="00A445C0" w:rsidRDefault="00A445C0" w:rsidP="001E7161">
      <w:pPr>
        <w:spacing w:after="0" w:line="240" w:lineRule="auto"/>
        <w:rPr>
          <w:rFonts w:ascii="Garamond" w:hAnsi="Garamond"/>
          <w:sz w:val="24"/>
          <w:szCs w:val="24"/>
        </w:rPr>
      </w:pPr>
      <w:r w:rsidRPr="00A445C0">
        <w:rPr>
          <w:rFonts w:ascii="Garamond" w:hAnsi="Garamond"/>
          <w:sz w:val="24"/>
          <w:szCs w:val="24"/>
        </w:rPr>
        <w:t>Ruggles,</w:t>
      </w:r>
      <w:r>
        <w:rPr>
          <w:rFonts w:ascii="Garamond" w:hAnsi="Garamond"/>
          <w:sz w:val="24"/>
          <w:szCs w:val="24"/>
        </w:rPr>
        <w:t xml:space="preserve"> Steven</w:t>
      </w:r>
      <w:proofErr w:type="gramStart"/>
      <w:r>
        <w:rPr>
          <w:rFonts w:ascii="Garamond" w:hAnsi="Garamond"/>
          <w:sz w:val="24"/>
          <w:szCs w:val="24"/>
        </w:rPr>
        <w:t xml:space="preserve">, </w:t>
      </w:r>
      <w:r w:rsidRPr="00A445C0">
        <w:rPr>
          <w:rFonts w:ascii="Garamond" w:hAnsi="Garamond"/>
          <w:sz w:val="24"/>
          <w:szCs w:val="24"/>
        </w:rPr>
        <w:t xml:space="preserve"> J</w:t>
      </w:r>
      <w:proofErr w:type="gramEnd"/>
      <w:r w:rsidRPr="00A445C0">
        <w:rPr>
          <w:rFonts w:ascii="Garamond" w:hAnsi="Garamond"/>
          <w:sz w:val="24"/>
          <w:szCs w:val="24"/>
        </w:rPr>
        <w:t xml:space="preserve">. Trent Alexander, Katie </w:t>
      </w:r>
      <w:proofErr w:type="spellStart"/>
      <w:r w:rsidRPr="00A445C0">
        <w:rPr>
          <w:rFonts w:ascii="Garamond" w:hAnsi="Garamond"/>
          <w:sz w:val="24"/>
          <w:szCs w:val="24"/>
        </w:rPr>
        <w:t>Genadek</w:t>
      </w:r>
      <w:proofErr w:type="spellEnd"/>
      <w:r w:rsidRPr="00A445C0">
        <w:rPr>
          <w:rFonts w:ascii="Garamond" w:hAnsi="Garamond"/>
          <w:sz w:val="24"/>
          <w:szCs w:val="24"/>
        </w:rPr>
        <w:t xml:space="preserve">, Ronald </w:t>
      </w:r>
      <w:proofErr w:type="spellStart"/>
      <w:r w:rsidRPr="00A445C0">
        <w:rPr>
          <w:rFonts w:ascii="Garamond" w:hAnsi="Garamond"/>
          <w:sz w:val="24"/>
          <w:szCs w:val="24"/>
        </w:rPr>
        <w:t>Goeken</w:t>
      </w:r>
      <w:proofErr w:type="spellEnd"/>
      <w:r w:rsidRPr="00A445C0">
        <w:rPr>
          <w:rFonts w:ascii="Garamond" w:hAnsi="Garamond"/>
          <w:sz w:val="24"/>
          <w:szCs w:val="24"/>
        </w:rPr>
        <w:t xml:space="preserve">, Matthew B. Schroeder, and Matthew </w:t>
      </w:r>
      <w:proofErr w:type="spellStart"/>
      <w:r w:rsidRPr="00A445C0">
        <w:rPr>
          <w:rFonts w:ascii="Garamond" w:hAnsi="Garamond"/>
          <w:sz w:val="24"/>
          <w:szCs w:val="24"/>
        </w:rPr>
        <w:t>Sobek</w:t>
      </w:r>
      <w:proofErr w:type="spellEnd"/>
      <w:r w:rsidRPr="00A445C0">
        <w:rPr>
          <w:rFonts w:ascii="Garamond" w:hAnsi="Garamond"/>
          <w:sz w:val="24"/>
          <w:szCs w:val="24"/>
        </w:rPr>
        <w:t xml:space="preserve">. Integrated Public Use </w:t>
      </w:r>
      <w:proofErr w:type="spellStart"/>
      <w:r w:rsidRPr="00A445C0">
        <w:rPr>
          <w:rFonts w:ascii="Garamond" w:hAnsi="Garamond"/>
          <w:sz w:val="24"/>
          <w:szCs w:val="24"/>
        </w:rPr>
        <w:t>Microdata</w:t>
      </w:r>
      <w:proofErr w:type="spellEnd"/>
      <w:r w:rsidRPr="00A445C0">
        <w:rPr>
          <w:rFonts w:ascii="Garamond" w:hAnsi="Garamond"/>
          <w:sz w:val="24"/>
          <w:szCs w:val="24"/>
        </w:rPr>
        <w:t xml:space="preserve"> Series: Version 5.0 [Machine-readable database]. Minneapolis: University of Minnesota, 2010.</w:t>
      </w:r>
    </w:p>
    <w:p w:rsidR="00A445C0" w:rsidRDefault="00A445C0" w:rsidP="001E7161">
      <w:pPr>
        <w:spacing w:after="0" w:line="240" w:lineRule="auto"/>
        <w:rPr>
          <w:rFonts w:ascii="Garamond" w:hAnsi="Garamond"/>
          <w:sz w:val="24"/>
          <w:szCs w:val="24"/>
        </w:rPr>
      </w:pPr>
    </w:p>
    <w:p w:rsidR="00DC19E9" w:rsidRPr="00DC19E9" w:rsidRDefault="00DC19E9" w:rsidP="00DC19E9">
      <w:pPr>
        <w:spacing w:after="0" w:line="240" w:lineRule="auto"/>
        <w:rPr>
          <w:rFonts w:ascii="Garamond" w:hAnsi="Garamond"/>
          <w:sz w:val="24"/>
          <w:szCs w:val="24"/>
        </w:rPr>
      </w:pPr>
      <w:r w:rsidRPr="00DC19E9">
        <w:rPr>
          <w:rFonts w:ascii="Garamond" w:hAnsi="Garamond"/>
          <w:sz w:val="24"/>
          <w:szCs w:val="24"/>
        </w:rPr>
        <w:t xml:space="preserve">Sen, </w:t>
      </w:r>
      <w:proofErr w:type="spellStart"/>
      <w:r w:rsidRPr="00DC19E9">
        <w:rPr>
          <w:rFonts w:ascii="Garamond" w:hAnsi="Garamond"/>
          <w:sz w:val="24"/>
          <w:szCs w:val="24"/>
        </w:rPr>
        <w:t>Amartya</w:t>
      </w:r>
      <w:proofErr w:type="spellEnd"/>
      <w:r w:rsidRPr="00DC19E9">
        <w:rPr>
          <w:rFonts w:ascii="Garamond" w:hAnsi="Garamond"/>
          <w:sz w:val="24"/>
          <w:szCs w:val="24"/>
        </w:rPr>
        <w:t>. 199</w:t>
      </w:r>
      <w:r>
        <w:rPr>
          <w:rFonts w:ascii="Garamond" w:hAnsi="Garamond"/>
          <w:sz w:val="24"/>
          <w:szCs w:val="24"/>
        </w:rPr>
        <w:t xml:space="preserve">0. “More than 100 Million Women </w:t>
      </w:r>
      <w:r w:rsidRPr="00DC19E9">
        <w:rPr>
          <w:rFonts w:ascii="Garamond" w:hAnsi="Garamond"/>
          <w:sz w:val="24"/>
          <w:szCs w:val="24"/>
        </w:rPr>
        <w:t xml:space="preserve">Are Missing.” </w:t>
      </w:r>
      <w:proofErr w:type="gramStart"/>
      <w:r w:rsidRPr="00DC19E9">
        <w:rPr>
          <w:rFonts w:ascii="Garamond" w:hAnsi="Garamond"/>
          <w:sz w:val="24"/>
          <w:szCs w:val="24"/>
        </w:rPr>
        <w:t>New York Review of Books 37 (20).</w:t>
      </w:r>
      <w:proofErr w:type="gramEnd"/>
    </w:p>
    <w:p w:rsidR="00DC19E9" w:rsidRDefault="00DC19E9" w:rsidP="001E7161">
      <w:pPr>
        <w:spacing w:after="0" w:line="240" w:lineRule="auto"/>
        <w:rPr>
          <w:rFonts w:ascii="Garamond" w:hAnsi="Garamond"/>
          <w:sz w:val="24"/>
          <w:szCs w:val="24"/>
        </w:rPr>
      </w:pPr>
    </w:p>
    <w:p w:rsidR="0023342D" w:rsidRDefault="00B45D89" w:rsidP="001E7161">
      <w:pPr>
        <w:spacing w:after="0" w:line="240" w:lineRule="auto"/>
        <w:rPr>
          <w:rFonts w:ascii="Garamond" w:hAnsi="Garamond"/>
          <w:sz w:val="24"/>
          <w:szCs w:val="24"/>
        </w:rPr>
      </w:pPr>
      <w:proofErr w:type="spellStart"/>
      <w:r>
        <w:rPr>
          <w:rFonts w:ascii="Garamond" w:hAnsi="Garamond"/>
          <w:sz w:val="24"/>
          <w:szCs w:val="24"/>
        </w:rPr>
        <w:t>Theoharides</w:t>
      </w:r>
      <w:proofErr w:type="spellEnd"/>
      <w:r>
        <w:rPr>
          <w:rFonts w:ascii="Garamond" w:hAnsi="Garamond"/>
          <w:sz w:val="24"/>
          <w:szCs w:val="24"/>
        </w:rPr>
        <w:t>, Caroline. 2013</w:t>
      </w:r>
      <w:r w:rsidR="00591152">
        <w:rPr>
          <w:rFonts w:ascii="Garamond" w:hAnsi="Garamond"/>
          <w:sz w:val="24"/>
          <w:szCs w:val="24"/>
        </w:rPr>
        <w:t xml:space="preserve">. </w:t>
      </w:r>
      <w:r>
        <w:rPr>
          <w:rFonts w:ascii="Garamond" w:hAnsi="Garamond"/>
          <w:sz w:val="24"/>
          <w:szCs w:val="24"/>
        </w:rPr>
        <w:t xml:space="preserve"> "</w:t>
      </w:r>
      <w:r w:rsidRPr="00B45D89">
        <w:rPr>
          <w:rFonts w:ascii="Garamond" w:hAnsi="Garamond"/>
          <w:sz w:val="24"/>
          <w:szCs w:val="24"/>
        </w:rPr>
        <w:t>Manila to Malaysia, Quezon to</w:t>
      </w:r>
      <w:r>
        <w:rPr>
          <w:rFonts w:ascii="Garamond" w:hAnsi="Garamond"/>
          <w:sz w:val="24"/>
          <w:szCs w:val="24"/>
        </w:rPr>
        <w:t xml:space="preserve"> Qatar: International Migration </w:t>
      </w:r>
      <w:r w:rsidRPr="00B45D89">
        <w:rPr>
          <w:rFonts w:ascii="Garamond" w:hAnsi="Garamond"/>
          <w:sz w:val="24"/>
          <w:szCs w:val="24"/>
        </w:rPr>
        <w:t>and the E</w:t>
      </w:r>
      <w:r>
        <w:rPr>
          <w:rFonts w:ascii="Cambria Math" w:hAnsi="Cambria Math" w:cs="Cambria Math"/>
          <w:sz w:val="24"/>
          <w:szCs w:val="24"/>
        </w:rPr>
        <w:t>ff</w:t>
      </w:r>
      <w:r w:rsidRPr="00B45D89">
        <w:rPr>
          <w:rFonts w:ascii="Garamond" w:hAnsi="Garamond"/>
          <w:sz w:val="24"/>
          <w:szCs w:val="24"/>
        </w:rPr>
        <w:t>ects on Origin-Country Human Capital</w:t>
      </w:r>
      <w:r w:rsidR="005004DA">
        <w:rPr>
          <w:rFonts w:ascii="Garamond" w:hAnsi="Garamond"/>
          <w:sz w:val="24"/>
          <w:szCs w:val="24"/>
        </w:rPr>
        <w:t>.</w:t>
      </w:r>
      <w:r>
        <w:rPr>
          <w:rFonts w:ascii="Garamond" w:hAnsi="Garamond"/>
          <w:sz w:val="24"/>
          <w:szCs w:val="24"/>
        </w:rPr>
        <w:t>"</w:t>
      </w:r>
      <w:r w:rsidR="00591152">
        <w:rPr>
          <w:rFonts w:ascii="Garamond" w:hAnsi="Garamond"/>
          <w:sz w:val="24"/>
          <w:szCs w:val="24"/>
        </w:rPr>
        <w:t xml:space="preserve"> </w:t>
      </w:r>
      <w:proofErr w:type="gramStart"/>
      <w:r w:rsidR="00C92BD9">
        <w:rPr>
          <w:rFonts w:ascii="Garamond" w:hAnsi="Garamond"/>
          <w:sz w:val="24"/>
          <w:szCs w:val="24"/>
        </w:rPr>
        <w:t>Unpublished Working Paper.</w:t>
      </w:r>
      <w:proofErr w:type="gramEnd"/>
    </w:p>
    <w:p w:rsidR="006B1E9B" w:rsidRDefault="006B1E9B" w:rsidP="001E7161">
      <w:pPr>
        <w:spacing w:after="0" w:line="240" w:lineRule="auto"/>
        <w:rPr>
          <w:rFonts w:ascii="Garamond" w:hAnsi="Garamond"/>
          <w:sz w:val="24"/>
          <w:szCs w:val="24"/>
        </w:rPr>
      </w:pPr>
    </w:p>
    <w:p w:rsidR="005004DA" w:rsidRDefault="005004DA" w:rsidP="001E7161">
      <w:pPr>
        <w:spacing w:after="0" w:line="240" w:lineRule="auto"/>
        <w:rPr>
          <w:rFonts w:ascii="Garamond" w:hAnsi="Garamond"/>
          <w:sz w:val="24"/>
          <w:szCs w:val="24"/>
        </w:rPr>
      </w:pPr>
      <w:proofErr w:type="spellStart"/>
      <w:r>
        <w:rPr>
          <w:rFonts w:ascii="Garamond" w:hAnsi="Garamond"/>
          <w:sz w:val="24"/>
          <w:szCs w:val="24"/>
        </w:rPr>
        <w:t>Vogl</w:t>
      </w:r>
      <w:proofErr w:type="spellEnd"/>
      <w:r>
        <w:rPr>
          <w:rFonts w:ascii="Garamond" w:hAnsi="Garamond"/>
          <w:sz w:val="24"/>
          <w:szCs w:val="24"/>
        </w:rPr>
        <w:t>, Tom. S.2014</w:t>
      </w:r>
      <w:r w:rsidR="00591152">
        <w:rPr>
          <w:rFonts w:ascii="Garamond" w:hAnsi="Garamond"/>
          <w:sz w:val="24"/>
          <w:szCs w:val="24"/>
        </w:rPr>
        <w:t xml:space="preserve">. </w:t>
      </w:r>
      <w:r>
        <w:rPr>
          <w:rFonts w:ascii="Garamond" w:hAnsi="Garamond"/>
          <w:sz w:val="24"/>
          <w:szCs w:val="24"/>
        </w:rPr>
        <w:t xml:space="preserve">"Height, skills and </w:t>
      </w:r>
      <w:r w:rsidR="00C92BD9">
        <w:rPr>
          <w:rFonts w:ascii="Garamond" w:hAnsi="Garamond"/>
          <w:sz w:val="24"/>
          <w:szCs w:val="24"/>
        </w:rPr>
        <w:t>labor market outcomes in Mexico</w:t>
      </w:r>
      <w:r>
        <w:rPr>
          <w:rFonts w:ascii="Garamond" w:hAnsi="Garamond"/>
          <w:sz w:val="24"/>
          <w:szCs w:val="24"/>
        </w:rPr>
        <w:t>"</w:t>
      </w:r>
      <w:r w:rsidR="00591152">
        <w:rPr>
          <w:rFonts w:ascii="Garamond" w:hAnsi="Garamond"/>
          <w:sz w:val="24"/>
          <w:szCs w:val="24"/>
        </w:rPr>
        <w:t xml:space="preserve"> </w:t>
      </w:r>
      <w:r w:rsidRPr="00C92BD9">
        <w:rPr>
          <w:rFonts w:ascii="Garamond" w:hAnsi="Garamond"/>
          <w:i/>
          <w:sz w:val="24"/>
          <w:szCs w:val="24"/>
        </w:rPr>
        <w:t>Journal of Development Economics</w:t>
      </w:r>
      <w:r w:rsidR="00591152">
        <w:rPr>
          <w:rFonts w:ascii="Garamond" w:hAnsi="Garamond"/>
          <w:sz w:val="24"/>
          <w:szCs w:val="24"/>
        </w:rPr>
        <w:t>,</w:t>
      </w:r>
      <w:r>
        <w:rPr>
          <w:rFonts w:ascii="Garamond" w:hAnsi="Garamond"/>
          <w:sz w:val="24"/>
          <w:szCs w:val="24"/>
        </w:rPr>
        <w:t xml:space="preserve"> 107: 84-</w:t>
      </w:r>
      <w:r w:rsidRPr="00DD32CB">
        <w:rPr>
          <w:rFonts w:ascii="Garamond" w:hAnsi="Garamond"/>
          <w:sz w:val="24"/>
          <w:szCs w:val="24"/>
        </w:rPr>
        <w:t>9</w:t>
      </w:r>
      <w:r>
        <w:rPr>
          <w:rFonts w:ascii="Garamond" w:hAnsi="Garamond"/>
          <w:sz w:val="24"/>
          <w:szCs w:val="24"/>
        </w:rPr>
        <w:t>6.</w:t>
      </w:r>
    </w:p>
    <w:p w:rsidR="00C92BD9" w:rsidRDefault="00C92BD9" w:rsidP="001E7161">
      <w:pPr>
        <w:spacing w:after="0" w:line="240" w:lineRule="auto"/>
        <w:rPr>
          <w:rFonts w:ascii="Garamond" w:hAnsi="Garamond"/>
          <w:sz w:val="24"/>
          <w:szCs w:val="24"/>
        </w:rPr>
      </w:pPr>
    </w:p>
    <w:p w:rsidR="0090060A" w:rsidRDefault="00CE39F6" w:rsidP="001E7161">
      <w:pPr>
        <w:spacing w:after="0" w:line="240" w:lineRule="auto"/>
        <w:rPr>
          <w:rFonts w:ascii="Garamond" w:hAnsi="Garamond"/>
          <w:sz w:val="24"/>
          <w:szCs w:val="24"/>
        </w:rPr>
      </w:pPr>
      <w:r>
        <w:rPr>
          <w:rFonts w:ascii="Garamond" w:hAnsi="Garamond"/>
          <w:sz w:val="24"/>
          <w:szCs w:val="24"/>
        </w:rPr>
        <w:br w:type="page"/>
      </w:r>
      <w:r w:rsidR="0090060A" w:rsidRPr="0090060A">
        <w:rPr>
          <w:rFonts w:ascii="Garamond" w:hAnsi="Garamond"/>
          <w:b/>
          <w:sz w:val="24"/>
          <w:szCs w:val="24"/>
        </w:rPr>
        <w:lastRenderedPageBreak/>
        <w:t>Figures and Tables</w:t>
      </w:r>
    </w:p>
    <w:p w:rsidR="0090060A" w:rsidRDefault="0090060A" w:rsidP="001E7161">
      <w:pPr>
        <w:spacing w:after="0" w:line="240" w:lineRule="auto"/>
        <w:rPr>
          <w:rFonts w:ascii="Garamond" w:hAnsi="Garamond"/>
          <w:sz w:val="24"/>
          <w:szCs w:val="24"/>
        </w:rPr>
      </w:pPr>
    </w:p>
    <w:p w:rsidR="00111F73" w:rsidRDefault="00CE39F6" w:rsidP="001E7161">
      <w:pPr>
        <w:spacing w:after="0" w:line="240" w:lineRule="auto"/>
        <w:rPr>
          <w:rFonts w:ascii="Garamond" w:hAnsi="Garamond"/>
          <w:sz w:val="24"/>
          <w:szCs w:val="24"/>
        </w:rPr>
      </w:pPr>
      <w:r>
        <w:rPr>
          <w:rFonts w:ascii="Garamond" w:hAnsi="Garamond"/>
          <w:sz w:val="24"/>
          <w:szCs w:val="24"/>
        </w:rPr>
        <w:t>Figure 1</w:t>
      </w:r>
      <w:r w:rsidR="00AD18FA">
        <w:rPr>
          <w:rFonts w:ascii="Garamond" w:hAnsi="Garamond"/>
          <w:sz w:val="24"/>
          <w:szCs w:val="24"/>
        </w:rPr>
        <w:t>: Sex</w:t>
      </w:r>
      <w:r w:rsidR="00B954F9">
        <w:rPr>
          <w:rFonts w:ascii="Garamond" w:hAnsi="Garamond"/>
          <w:sz w:val="24"/>
          <w:szCs w:val="24"/>
        </w:rPr>
        <w:t xml:space="preserve"> Ratios by Census Year and Cohort, Mexico</w:t>
      </w:r>
      <w:r>
        <w:rPr>
          <w:rFonts w:ascii="Garamond" w:hAnsi="Garamond"/>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E39F6" w:rsidRPr="00C821DB" w:rsidTr="00C821DB">
        <w:tc>
          <w:tcPr>
            <w:tcW w:w="9576" w:type="dxa"/>
            <w:shd w:val="clear" w:color="auto" w:fill="auto"/>
          </w:tcPr>
          <w:p w:rsidR="00CE39F6" w:rsidRPr="00C821DB" w:rsidRDefault="004F14FC" w:rsidP="00C821DB">
            <w:pPr>
              <w:spacing w:after="0" w:line="480" w:lineRule="auto"/>
              <w:rPr>
                <w:rFonts w:ascii="Garamond" w:hAnsi="Garamond"/>
                <w:sz w:val="24"/>
                <w:szCs w:val="24"/>
              </w:rPr>
            </w:pPr>
            <w:r>
              <w:rPr>
                <w:rFonts w:ascii="Garamond" w:hAnsi="Garamond"/>
                <w:noProof/>
                <w:sz w:val="24"/>
                <w:szCs w:val="24"/>
              </w:rPr>
              <w:drawing>
                <wp:inline distT="0" distB="0" distL="0" distR="0">
                  <wp:extent cx="5133975" cy="376237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133975" cy="3762375"/>
                          </a:xfrm>
                          <a:prstGeom prst="rect">
                            <a:avLst/>
                          </a:prstGeom>
                          <a:noFill/>
                          <a:ln>
                            <a:noFill/>
                          </a:ln>
                        </pic:spPr>
                      </pic:pic>
                    </a:graphicData>
                  </a:graphic>
                </wp:inline>
              </w:drawing>
            </w:r>
          </w:p>
        </w:tc>
      </w:tr>
    </w:tbl>
    <w:p w:rsidR="00494007" w:rsidRDefault="00494007" w:rsidP="00F405D2">
      <w:pPr>
        <w:spacing w:after="0" w:line="480" w:lineRule="auto"/>
        <w:rPr>
          <w:rFonts w:ascii="Garamond" w:hAnsi="Garamond"/>
          <w:sz w:val="24"/>
          <w:szCs w:val="24"/>
        </w:rPr>
      </w:pPr>
    </w:p>
    <w:p w:rsidR="00B954F9" w:rsidRDefault="00B954F9" w:rsidP="00F405D2">
      <w:pPr>
        <w:spacing w:after="0" w:line="480" w:lineRule="auto"/>
        <w:rPr>
          <w:rFonts w:ascii="Garamond" w:hAnsi="Garamond"/>
          <w:sz w:val="24"/>
          <w:szCs w:val="24"/>
        </w:rPr>
      </w:pPr>
      <w:r>
        <w:rPr>
          <w:rFonts w:ascii="Garamond" w:hAnsi="Garamond"/>
          <w:sz w:val="24"/>
          <w:szCs w:val="24"/>
        </w:rPr>
        <w:br w:type="page"/>
      </w:r>
      <w:r w:rsidR="00AD18FA">
        <w:rPr>
          <w:rFonts w:ascii="Garamond" w:hAnsi="Garamond"/>
          <w:sz w:val="24"/>
          <w:szCs w:val="24"/>
        </w:rPr>
        <w:lastRenderedPageBreak/>
        <w:t>Figure 2: Comparison of Sex</w:t>
      </w:r>
      <w:r>
        <w:rPr>
          <w:rFonts w:ascii="Garamond" w:hAnsi="Garamond"/>
          <w:sz w:val="24"/>
          <w:szCs w:val="24"/>
        </w:rPr>
        <w:t xml:space="preserve"> Ratios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954F9" w:rsidRPr="005D3D51" w:rsidTr="005D3D51">
        <w:tc>
          <w:tcPr>
            <w:tcW w:w="9576" w:type="dxa"/>
            <w:shd w:val="clear" w:color="auto" w:fill="auto"/>
          </w:tcPr>
          <w:p w:rsidR="00B954F9" w:rsidRPr="005D3D51" w:rsidRDefault="004F14FC" w:rsidP="005D3D51">
            <w:pPr>
              <w:spacing w:after="0" w:line="480" w:lineRule="auto"/>
              <w:rPr>
                <w:rFonts w:ascii="Garamond" w:hAnsi="Garamond"/>
                <w:sz w:val="24"/>
                <w:szCs w:val="24"/>
              </w:rPr>
            </w:pPr>
            <w:r>
              <w:rPr>
                <w:rFonts w:ascii="Garamond" w:hAnsi="Garamond"/>
                <w:noProof/>
                <w:sz w:val="24"/>
                <w:szCs w:val="24"/>
              </w:rPr>
              <w:drawing>
                <wp:inline distT="0" distB="0" distL="0" distR="0">
                  <wp:extent cx="4591050" cy="33623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591050" cy="3362325"/>
                          </a:xfrm>
                          <a:prstGeom prst="rect">
                            <a:avLst/>
                          </a:prstGeom>
                          <a:noFill/>
                          <a:ln>
                            <a:noFill/>
                          </a:ln>
                        </pic:spPr>
                      </pic:pic>
                    </a:graphicData>
                  </a:graphic>
                </wp:inline>
              </w:drawing>
            </w:r>
          </w:p>
        </w:tc>
      </w:tr>
    </w:tbl>
    <w:p w:rsidR="0090060A" w:rsidRDefault="0090060A" w:rsidP="00C95618">
      <w:pPr>
        <w:spacing w:after="0" w:line="480" w:lineRule="auto"/>
        <w:rPr>
          <w:rFonts w:ascii="Garamond" w:hAnsi="Garamond"/>
          <w:sz w:val="24"/>
          <w:szCs w:val="24"/>
        </w:rPr>
      </w:pPr>
    </w:p>
    <w:p w:rsidR="0090060A" w:rsidRDefault="0090060A" w:rsidP="00C95618">
      <w:pPr>
        <w:spacing w:after="0" w:line="480" w:lineRule="auto"/>
        <w:rPr>
          <w:rFonts w:ascii="Garamond" w:hAnsi="Garamond"/>
          <w:sz w:val="24"/>
          <w:szCs w:val="24"/>
        </w:rPr>
      </w:pPr>
    </w:p>
    <w:p w:rsidR="0090060A" w:rsidRDefault="0090060A" w:rsidP="00C95618">
      <w:pPr>
        <w:spacing w:after="0" w:line="480" w:lineRule="auto"/>
        <w:rPr>
          <w:rFonts w:ascii="Garamond" w:hAnsi="Garamond"/>
          <w:sz w:val="24"/>
          <w:szCs w:val="24"/>
        </w:rPr>
      </w:pPr>
    </w:p>
    <w:p w:rsidR="0090060A" w:rsidRDefault="0090060A" w:rsidP="00C95618">
      <w:pPr>
        <w:spacing w:after="0" w:line="480" w:lineRule="auto"/>
        <w:rPr>
          <w:rFonts w:ascii="Garamond" w:hAnsi="Garamond"/>
          <w:sz w:val="24"/>
          <w:szCs w:val="24"/>
        </w:rPr>
      </w:pPr>
    </w:p>
    <w:p w:rsidR="0090060A" w:rsidRDefault="0090060A" w:rsidP="00C95618">
      <w:pPr>
        <w:spacing w:after="0" w:line="480" w:lineRule="auto"/>
        <w:rPr>
          <w:rFonts w:ascii="Garamond" w:hAnsi="Garamond"/>
          <w:sz w:val="24"/>
          <w:szCs w:val="24"/>
        </w:rPr>
      </w:pPr>
    </w:p>
    <w:p w:rsidR="0090060A" w:rsidRDefault="0090060A" w:rsidP="00C95618">
      <w:pPr>
        <w:spacing w:after="0" w:line="480" w:lineRule="auto"/>
        <w:rPr>
          <w:rFonts w:ascii="Garamond" w:hAnsi="Garamond"/>
          <w:sz w:val="24"/>
          <w:szCs w:val="24"/>
        </w:rPr>
      </w:pPr>
    </w:p>
    <w:p w:rsidR="0090060A" w:rsidRDefault="0090060A" w:rsidP="00C95618">
      <w:pPr>
        <w:spacing w:after="0" w:line="480" w:lineRule="auto"/>
        <w:rPr>
          <w:rFonts w:ascii="Garamond" w:hAnsi="Garamond"/>
          <w:sz w:val="24"/>
          <w:szCs w:val="24"/>
        </w:rPr>
      </w:pPr>
    </w:p>
    <w:p w:rsidR="0090060A" w:rsidRDefault="0090060A" w:rsidP="00C95618">
      <w:pPr>
        <w:spacing w:after="0" w:line="480" w:lineRule="auto"/>
        <w:rPr>
          <w:rFonts w:ascii="Garamond" w:hAnsi="Garamond"/>
          <w:sz w:val="24"/>
          <w:szCs w:val="24"/>
        </w:rPr>
      </w:pPr>
    </w:p>
    <w:p w:rsidR="0090060A" w:rsidRDefault="0090060A" w:rsidP="00C95618">
      <w:pPr>
        <w:spacing w:after="0" w:line="480" w:lineRule="auto"/>
        <w:rPr>
          <w:rFonts w:ascii="Garamond" w:hAnsi="Garamond"/>
          <w:sz w:val="24"/>
          <w:szCs w:val="24"/>
        </w:rPr>
      </w:pPr>
    </w:p>
    <w:p w:rsidR="0090060A" w:rsidRDefault="0090060A" w:rsidP="00C95618">
      <w:pPr>
        <w:spacing w:after="0" w:line="480" w:lineRule="auto"/>
        <w:rPr>
          <w:rFonts w:ascii="Garamond" w:hAnsi="Garamond"/>
          <w:sz w:val="24"/>
          <w:szCs w:val="24"/>
        </w:rPr>
      </w:pPr>
    </w:p>
    <w:p w:rsidR="0090060A" w:rsidRDefault="0090060A" w:rsidP="00C95618">
      <w:pPr>
        <w:spacing w:after="0" w:line="480" w:lineRule="auto"/>
        <w:rPr>
          <w:rFonts w:ascii="Garamond" w:hAnsi="Garamond"/>
          <w:sz w:val="24"/>
          <w:szCs w:val="24"/>
        </w:rPr>
      </w:pPr>
    </w:p>
    <w:p w:rsidR="0090060A" w:rsidRDefault="0090060A" w:rsidP="00C95618">
      <w:pPr>
        <w:spacing w:after="0" w:line="480" w:lineRule="auto"/>
        <w:rPr>
          <w:rFonts w:ascii="Garamond" w:hAnsi="Garamond"/>
          <w:sz w:val="24"/>
          <w:szCs w:val="24"/>
        </w:rPr>
      </w:pPr>
    </w:p>
    <w:p w:rsidR="00D80F7A" w:rsidRDefault="00AD18FA" w:rsidP="00C95618">
      <w:pPr>
        <w:spacing w:after="0" w:line="480" w:lineRule="auto"/>
        <w:rPr>
          <w:rFonts w:ascii="Garamond" w:hAnsi="Garamond"/>
          <w:sz w:val="24"/>
          <w:szCs w:val="24"/>
        </w:rPr>
      </w:pPr>
      <w:r>
        <w:rPr>
          <w:rFonts w:ascii="Garamond" w:hAnsi="Garamond"/>
          <w:sz w:val="24"/>
          <w:szCs w:val="24"/>
        </w:rPr>
        <w:lastRenderedPageBreak/>
        <w:t>Figure 3: Sex</w:t>
      </w:r>
      <w:r w:rsidR="00D80F7A">
        <w:rPr>
          <w:rFonts w:ascii="Garamond" w:hAnsi="Garamond"/>
          <w:sz w:val="24"/>
          <w:szCs w:val="24"/>
        </w:rPr>
        <w:t xml:space="preserve"> Ratios for Mexican Born residents of the 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71288" w:rsidRPr="00B00CDA" w:rsidTr="00B00CDA">
        <w:tc>
          <w:tcPr>
            <w:tcW w:w="9576" w:type="dxa"/>
            <w:shd w:val="clear" w:color="auto" w:fill="auto"/>
          </w:tcPr>
          <w:p w:rsidR="00F71288" w:rsidRPr="00B00CDA" w:rsidRDefault="004F14FC" w:rsidP="00B00CDA">
            <w:pPr>
              <w:spacing w:after="0" w:line="480" w:lineRule="auto"/>
              <w:rPr>
                <w:rFonts w:ascii="Garamond" w:hAnsi="Garamond"/>
                <w:sz w:val="24"/>
                <w:szCs w:val="24"/>
              </w:rPr>
            </w:pPr>
            <w:r>
              <w:rPr>
                <w:rFonts w:ascii="Garamond" w:hAnsi="Garamond"/>
                <w:noProof/>
                <w:sz w:val="24"/>
                <w:szCs w:val="24"/>
              </w:rPr>
              <w:drawing>
                <wp:inline distT="0" distB="0" distL="0" distR="0">
                  <wp:extent cx="5133975" cy="376237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133975" cy="3762375"/>
                          </a:xfrm>
                          <a:prstGeom prst="rect">
                            <a:avLst/>
                          </a:prstGeom>
                          <a:noFill/>
                          <a:ln>
                            <a:noFill/>
                          </a:ln>
                        </pic:spPr>
                      </pic:pic>
                    </a:graphicData>
                  </a:graphic>
                </wp:inline>
              </w:drawing>
            </w:r>
          </w:p>
        </w:tc>
      </w:tr>
    </w:tbl>
    <w:p w:rsidR="00F71288" w:rsidRDefault="00F71288" w:rsidP="00C95618">
      <w:pPr>
        <w:spacing w:after="0" w:line="480" w:lineRule="auto"/>
        <w:rPr>
          <w:rFonts w:ascii="Garamond" w:hAnsi="Garamond"/>
          <w:sz w:val="24"/>
          <w:szCs w:val="24"/>
        </w:rPr>
      </w:pPr>
    </w:p>
    <w:p w:rsidR="00D80F7A" w:rsidRDefault="00D80F7A" w:rsidP="00C95618">
      <w:pPr>
        <w:spacing w:after="0" w:line="480" w:lineRule="auto"/>
        <w:rPr>
          <w:rFonts w:ascii="Garamond" w:hAnsi="Garamond"/>
          <w:sz w:val="24"/>
          <w:szCs w:val="24"/>
        </w:rPr>
      </w:pPr>
    </w:p>
    <w:p w:rsidR="00C17DC7" w:rsidRDefault="00C17DC7" w:rsidP="00F405D2">
      <w:pPr>
        <w:spacing w:after="0" w:line="480" w:lineRule="auto"/>
        <w:rPr>
          <w:rFonts w:ascii="Garamond" w:hAnsi="Garamond"/>
          <w:sz w:val="24"/>
          <w:szCs w:val="24"/>
        </w:rPr>
        <w:sectPr w:rsidR="00C17DC7">
          <w:footerReference w:type="default" r:id="rId62"/>
          <w:pgSz w:w="12240" w:h="15840"/>
          <w:pgMar w:top="1440" w:right="1440" w:bottom="1440" w:left="1440" w:header="720" w:footer="720" w:gutter="0"/>
          <w:cols w:space="720"/>
          <w:docGrid w:linePitch="360"/>
        </w:sectPr>
      </w:pPr>
    </w:p>
    <w:p w:rsidR="00C17DC7" w:rsidRDefault="00C17DC7" w:rsidP="00F405D2">
      <w:pPr>
        <w:spacing w:after="0" w:line="480" w:lineRule="auto"/>
        <w:rPr>
          <w:rFonts w:ascii="Garamond" w:hAnsi="Garamond"/>
          <w:sz w:val="24"/>
          <w:szCs w:val="24"/>
        </w:rPr>
      </w:pPr>
      <w:r>
        <w:rPr>
          <w:rFonts w:ascii="Garamond" w:hAnsi="Garamond"/>
          <w:sz w:val="24"/>
          <w:szCs w:val="24"/>
        </w:rPr>
        <w:lastRenderedPageBreak/>
        <w:t>Table 1</w:t>
      </w:r>
      <w:r w:rsidR="002F63C4">
        <w:rPr>
          <w:rFonts w:ascii="Garamond" w:hAnsi="Garamond"/>
          <w:sz w:val="24"/>
          <w:szCs w:val="24"/>
        </w:rPr>
        <w:t>:</w:t>
      </w:r>
      <w:r w:rsidR="00AD18FA">
        <w:rPr>
          <w:rFonts w:ascii="Garamond" w:hAnsi="Garamond"/>
          <w:sz w:val="24"/>
          <w:szCs w:val="24"/>
        </w:rPr>
        <w:t xml:space="preserve"> Sex</w:t>
      </w:r>
      <w:r>
        <w:rPr>
          <w:rFonts w:ascii="Garamond" w:hAnsi="Garamond"/>
          <w:sz w:val="24"/>
          <w:szCs w:val="24"/>
        </w:rPr>
        <w:t xml:space="preserve"> Ratios and International Migration Incidence by State </w:t>
      </w:r>
    </w:p>
    <w:bookmarkStart w:id="1" w:name="_MON_1476002653"/>
    <w:bookmarkEnd w:id="1"/>
    <w:p w:rsidR="00B954F9" w:rsidRDefault="00B44E00" w:rsidP="00F405D2">
      <w:pPr>
        <w:spacing w:after="0" w:line="480" w:lineRule="auto"/>
        <w:rPr>
          <w:rFonts w:ascii="Garamond" w:hAnsi="Garamond"/>
          <w:sz w:val="24"/>
          <w:szCs w:val="24"/>
        </w:rPr>
      </w:pPr>
      <w:r>
        <w:rPr>
          <w:rFonts w:ascii="Garamond" w:hAnsi="Garamond"/>
          <w:sz w:val="24"/>
          <w:szCs w:val="24"/>
        </w:rPr>
        <w:object w:dxaOrig="14822" w:dyaOrig="7727">
          <v:shape id="_x0000_i1050" type="#_x0000_t75" style="width:741pt;height:386.25pt" o:ole="">
            <v:imagedata r:id="rId63" o:title=""/>
          </v:shape>
          <o:OLEObject Type="Embed" ProgID="Excel.Sheet.12" ShapeID="_x0000_i1050" DrawAspect="Content" ObjectID="_1489935321" r:id="rId64"/>
        </w:object>
      </w:r>
    </w:p>
    <w:p w:rsidR="00466C5A" w:rsidRDefault="00466C5A" w:rsidP="00F405D2">
      <w:pPr>
        <w:spacing w:after="0" w:line="480" w:lineRule="auto"/>
        <w:rPr>
          <w:rFonts w:ascii="Garamond" w:hAnsi="Garamond"/>
          <w:sz w:val="24"/>
          <w:szCs w:val="24"/>
        </w:rPr>
        <w:sectPr w:rsidR="00466C5A" w:rsidSect="00C17DC7">
          <w:pgSz w:w="15840" w:h="12240" w:orient="landscape"/>
          <w:pgMar w:top="1440" w:right="1440" w:bottom="1440" w:left="1440" w:header="720" w:footer="720" w:gutter="0"/>
          <w:cols w:space="720"/>
          <w:docGrid w:linePitch="360"/>
        </w:sectPr>
      </w:pPr>
    </w:p>
    <w:p w:rsidR="006F05DF" w:rsidRDefault="00D426CE" w:rsidP="002C2A3F">
      <w:pPr>
        <w:spacing w:after="0" w:line="240" w:lineRule="auto"/>
        <w:rPr>
          <w:rFonts w:ascii="Garamond" w:hAnsi="Garamond"/>
          <w:sz w:val="24"/>
          <w:szCs w:val="24"/>
        </w:rPr>
      </w:pPr>
      <w:r>
        <w:rPr>
          <w:rFonts w:ascii="Garamond" w:hAnsi="Garamond"/>
          <w:sz w:val="24"/>
          <w:szCs w:val="24"/>
        </w:rPr>
        <w:lastRenderedPageBreak/>
        <w:t>Table 2: Summary Statistics on Labor Force Outcomes</w:t>
      </w:r>
      <w:r w:rsidR="006F05DF">
        <w:rPr>
          <w:rFonts w:ascii="Garamond" w:hAnsi="Garamond"/>
          <w:sz w:val="24"/>
          <w:szCs w:val="24"/>
        </w:rPr>
        <w:t xml:space="preserve"> </w:t>
      </w:r>
    </w:p>
    <w:p w:rsidR="00466C5A" w:rsidRDefault="00131EBD" w:rsidP="00631FED">
      <w:pPr>
        <w:tabs>
          <w:tab w:val="left" w:pos="2130"/>
        </w:tabs>
        <w:rPr>
          <w:rFonts w:ascii="Garamond" w:hAnsi="Garamond"/>
          <w:sz w:val="24"/>
          <w:szCs w:val="24"/>
        </w:rPr>
      </w:pPr>
      <w:r>
        <w:rPr>
          <w:rFonts w:ascii="Garamond" w:hAnsi="Garamond"/>
          <w:sz w:val="24"/>
          <w:szCs w:val="24"/>
        </w:rPr>
        <w:object w:dxaOrig="7350" w:dyaOrig="11353">
          <v:shape id="_x0000_i1051" type="#_x0000_t75" style="width:367.5pt;height:567.75pt" o:ole="">
            <v:imagedata r:id="rId65" o:title=""/>
          </v:shape>
          <o:OLEObject Type="Embed" ProgID="Excel.Sheet.12" ShapeID="_x0000_i1051" DrawAspect="Content" ObjectID="_1489935322" r:id="rId66"/>
        </w:object>
      </w:r>
    </w:p>
    <w:p w:rsidR="00C17DC7" w:rsidRDefault="00466C5A" w:rsidP="00631FED">
      <w:pPr>
        <w:tabs>
          <w:tab w:val="left" w:pos="2130"/>
        </w:tabs>
        <w:rPr>
          <w:rFonts w:ascii="Garamond" w:hAnsi="Garamond"/>
          <w:sz w:val="24"/>
          <w:szCs w:val="24"/>
        </w:rPr>
      </w:pPr>
      <w:r>
        <w:rPr>
          <w:rFonts w:ascii="Garamond" w:hAnsi="Garamond"/>
          <w:sz w:val="24"/>
          <w:szCs w:val="24"/>
        </w:rPr>
        <w:br w:type="page"/>
      </w:r>
      <w:r w:rsidR="002C2A3F">
        <w:rPr>
          <w:rFonts w:ascii="Garamond" w:hAnsi="Garamond"/>
          <w:sz w:val="24"/>
          <w:szCs w:val="24"/>
        </w:rPr>
        <w:lastRenderedPageBreak/>
        <w:t xml:space="preserve">Table 3: Table of </w:t>
      </w:r>
      <w:proofErr w:type="spellStart"/>
      <w:r w:rsidR="00B44E00">
        <w:rPr>
          <w:rFonts w:ascii="Garamond" w:hAnsi="Garamond"/>
          <w:sz w:val="24"/>
          <w:szCs w:val="24"/>
        </w:rPr>
        <w:t>Taus</w:t>
      </w:r>
      <w:proofErr w:type="spellEnd"/>
      <w:r w:rsidR="00121F38">
        <w:rPr>
          <w:rFonts w:ascii="Garamond" w:hAnsi="Garamond"/>
          <w:sz w:val="24"/>
          <w:szCs w:val="24"/>
        </w:rPr>
        <w:t xml:space="preserve"> for Select U.S. States</w:t>
      </w:r>
      <w:r w:rsidR="00B44E00">
        <w:rPr>
          <w:rFonts w:ascii="Garamond" w:hAnsi="Garamond"/>
          <w:sz w:val="24"/>
          <w:szCs w:val="24"/>
        </w:rPr>
        <w:t xml:space="preserve"> (</w:t>
      </w:r>
      <w:r w:rsidR="002C2A3F">
        <w:rPr>
          <w:rFonts w:ascii="Garamond" w:hAnsi="Garamond"/>
          <w:sz w:val="24"/>
          <w:szCs w:val="24"/>
        </w:rPr>
        <w:t>τ</w:t>
      </w:r>
      <w:r w:rsidR="00B44E00">
        <w:rPr>
          <w:rFonts w:ascii="Garamond" w:hAnsi="Garamond"/>
          <w:sz w:val="24"/>
          <w:szCs w:val="24"/>
        </w:rPr>
        <w:t>)</w:t>
      </w:r>
      <w:r w:rsidR="002C2A3F">
        <w:rPr>
          <w:rFonts w:ascii="Garamond" w:hAnsi="Garamond"/>
          <w:sz w:val="24"/>
          <w:szCs w:val="24"/>
        </w:rPr>
        <w:t xml:space="preserve"> </w:t>
      </w:r>
      <w:r>
        <w:rPr>
          <w:rFonts w:ascii="Garamond" w:hAnsi="Garamond"/>
          <w:sz w:val="24"/>
          <w:szCs w:val="24"/>
        </w:rPr>
        <w:t xml:space="preserve"> </w:t>
      </w:r>
      <w:r w:rsidR="00C17DC7">
        <w:rPr>
          <w:rFonts w:ascii="Garamond" w:hAnsi="Garamond"/>
          <w:sz w:val="24"/>
          <w:szCs w:val="24"/>
        </w:rPr>
        <w:tab/>
      </w:r>
    </w:p>
    <w:bookmarkStart w:id="2" w:name="_MON_1476001384"/>
    <w:bookmarkEnd w:id="2"/>
    <w:p w:rsidR="004A23FD" w:rsidRDefault="004A23FD" w:rsidP="00631FED">
      <w:pPr>
        <w:tabs>
          <w:tab w:val="left" w:pos="2130"/>
        </w:tabs>
        <w:rPr>
          <w:rFonts w:ascii="Garamond" w:hAnsi="Garamond"/>
          <w:sz w:val="24"/>
          <w:szCs w:val="24"/>
        </w:rPr>
      </w:pPr>
      <w:r>
        <w:rPr>
          <w:rFonts w:ascii="Garamond" w:hAnsi="Garamond"/>
          <w:sz w:val="24"/>
          <w:szCs w:val="24"/>
        </w:rPr>
        <w:object w:dxaOrig="9166" w:dyaOrig="6082">
          <v:shape id="_x0000_i1052" type="#_x0000_t75" style="width:458.25pt;height:303.75pt" o:ole="">
            <v:imagedata r:id="rId67" o:title=""/>
          </v:shape>
          <o:OLEObject Type="Embed" ProgID="Excel.Sheet.12" ShapeID="_x0000_i1052" DrawAspect="Content" ObjectID="_1489935323" r:id="rId68"/>
        </w:object>
      </w:r>
    </w:p>
    <w:p w:rsidR="004A23FD" w:rsidRDefault="004A23FD" w:rsidP="00631FED">
      <w:pPr>
        <w:tabs>
          <w:tab w:val="left" w:pos="2130"/>
        </w:tabs>
        <w:rPr>
          <w:rFonts w:ascii="Garamond" w:hAnsi="Garamond"/>
          <w:sz w:val="24"/>
          <w:szCs w:val="24"/>
        </w:rPr>
      </w:pPr>
    </w:p>
    <w:p w:rsidR="004A23FD" w:rsidRDefault="004A23FD" w:rsidP="00A862D9">
      <w:pPr>
        <w:tabs>
          <w:tab w:val="left" w:pos="2130"/>
        </w:tabs>
        <w:spacing w:after="0" w:line="240" w:lineRule="auto"/>
        <w:rPr>
          <w:rFonts w:ascii="Garamond" w:hAnsi="Garamond"/>
          <w:sz w:val="24"/>
          <w:szCs w:val="24"/>
        </w:rPr>
      </w:pPr>
      <w:r>
        <w:rPr>
          <w:rFonts w:ascii="Garamond" w:hAnsi="Garamond"/>
          <w:sz w:val="24"/>
          <w:szCs w:val="24"/>
        </w:rPr>
        <w:br w:type="page"/>
      </w:r>
      <w:r>
        <w:rPr>
          <w:rFonts w:ascii="Garamond" w:hAnsi="Garamond"/>
          <w:sz w:val="24"/>
          <w:szCs w:val="24"/>
        </w:rPr>
        <w:lastRenderedPageBreak/>
        <w:t xml:space="preserve">Table 4: Predicted Male Migration to the U.S in the year 2000, by cohort </w:t>
      </w:r>
    </w:p>
    <w:bookmarkStart w:id="3" w:name="_MON_1476016089"/>
    <w:bookmarkEnd w:id="3"/>
    <w:p w:rsidR="004A23FD" w:rsidRDefault="00450981" w:rsidP="00631FED">
      <w:pPr>
        <w:tabs>
          <w:tab w:val="left" w:pos="2130"/>
        </w:tabs>
        <w:rPr>
          <w:rFonts w:ascii="Garamond" w:hAnsi="Garamond"/>
          <w:sz w:val="24"/>
          <w:szCs w:val="24"/>
        </w:rPr>
      </w:pPr>
      <w:r>
        <w:rPr>
          <w:rFonts w:ascii="Garamond" w:hAnsi="Garamond"/>
          <w:sz w:val="24"/>
          <w:szCs w:val="24"/>
        </w:rPr>
        <w:object w:dxaOrig="7473" w:dyaOrig="6346">
          <v:shape id="_x0000_i1053" type="#_x0000_t75" style="width:373.5pt;height:317.25pt" o:ole="">
            <v:imagedata r:id="rId69" o:title=""/>
          </v:shape>
          <o:OLEObject Type="Embed" ProgID="Excel.Sheet.12" ShapeID="_x0000_i1053" DrawAspect="Content" ObjectID="_1489935324" r:id="rId70"/>
        </w:object>
      </w:r>
    </w:p>
    <w:p w:rsidR="003D64C4" w:rsidRDefault="003D64C4" w:rsidP="00631FED">
      <w:pPr>
        <w:tabs>
          <w:tab w:val="left" w:pos="2130"/>
        </w:tabs>
        <w:rPr>
          <w:rFonts w:ascii="Garamond" w:hAnsi="Garamond"/>
          <w:sz w:val="24"/>
          <w:szCs w:val="24"/>
        </w:rPr>
      </w:pPr>
    </w:p>
    <w:p w:rsidR="00C17DC7" w:rsidRPr="00C17DC7" w:rsidRDefault="00C17DC7" w:rsidP="00C17DC7">
      <w:pPr>
        <w:rPr>
          <w:rFonts w:ascii="Garamond" w:hAnsi="Garamond"/>
          <w:sz w:val="24"/>
          <w:szCs w:val="24"/>
        </w:rPr>
        <w:sectPr w:rsidR="00C17DC7" w:rsidRPr="00C17DC7" w:rsidSect="00466C5A">
          <w:pgSz w:w="12240" w:h="15840"/>
          <w:pgMar w:top="1440" w:right="1440" w:bottom="1440" w:left="1440" w:header="720" w:footer="720" w:gutter="0"/>
          <w:cols w:space="720"/>
          <w:docGrid w:linePitch="360"/>
        </w:sectPr>
      </w:pPr>
    </w:p>
    <w:p w:rsidR="00CC66C7" w:rsidRDefault="004A23FD" w:rsidP="00F405D2">
      <w:pPr>
        <w:spacing w:after="0" w:line="480" w:lineRule="auto"/>
        <w:rPr>
          <w:rFonts w:ascii="Garamond" w:hAnsi="Garamond"/>
          <w:sz w:val="24"/>
          <w:szCs w:val="24"/>
        </w:rPr>
      </w:pPr>
      <w:r>
        <w:rPr>
          <w:rFonts w:ascii="Garamond" w:hAnsi="Garamond"/>
          <w:sz w:val="24"/>
          <w:szCs w:val="24"/>
        </w:rPr>
        <w:lastRenderedPageBreak/>
        <w:t>Table 5</w:t>
      </w:r>
      <w:r w:rsidR="00216614">
        <w:rPr>
          <w:rFonts w:ascii="Garamond" w:hAnsi="Garamond"/>
          <w:sz w:val="24"/>
          <w:szCs w:val="24"/>
        </w:rPr>
        <w:t xml:space="preserve">: </w:t>
      </w:r>
      <w:r w:rsidR="003D64C4">
        <w:rPr>
          <w:rFonts w:ascii="Garamond" w:hAnsi="Garamond"/>
          <w:sz w:val="24"/>
          <w:szCs w:val="24"/>
        </w:rPr>
        <w:t xml:space="preserve">First Stage IV Results </w:t>
      </w:r>
    </w:p>
    <w:bookmarkStart w:id="4" w:name="_MON_1476001524"/>
    <w:bookmarkEnd w:id="4"/>
    <w:p w:rsidR="00E234EA" w:rsidRDefault="002C2A3F" w:rsidP="00F405D2">
      <w:pPr>
        <w:spacing w:after="0" w:line="480" w:lineRule="auto"/>
        <w:rPr>
          <w:rFonts w:ascii="Garamond" w:hAnsi="Garamond"/>
          <w:sz w:val="24"/>
          <w:szCs w:val="24"/>
        </w:rPr>
      </w:pPr>
      <w:r>
        <w:rPr>
          <w:rFonts w:ascii="Garamond" w:hAnsi="Garamond"/>
          <w:sz w:val="24"/>
          <w:szCs w:val="24"/>
        </w:rPr>
        <w:object w:dxaOrig="12026" w:dyaOrig="6641">
          <v:shape id="_x0000_i1054" type="#_x0000_t75" style="width:601.5pt;height:332.25pt" o:ole="">
            <v:imagedata r:id="rId71" o:title=""/>
          </v:shape>
          <o:OLEObject Type="Embed" ProgID="Excel.Sheet.12" ShapeID="_x0000_i1054" DrawAspect="Content" ObjectID="_1489935325" r:id="rId72"/>
        </w:object>
      </w:r>
    </w:p>
    <w:p w:rsidR="00D426CE" w:rsidRDefault="0080278C" w:rsidP="00F405D2">
      <w:pPr>
        <w:spacing w:after="0" w:line="480" w:lineRule="auto"/>
        <w:rPr>
          <w:rFonts w:ascii="Garamond" w:hAnsi="Garamond"/>
          <w:sz w:val="24"/>
          <w:szCs w:val="24"/>
        </w:rPr>
      </w:pPr>
      <w:r>
        <w:rPr>
          <w:rFonts w:ascii="Garamond" w:hAnsi="Garamond"/>
          <w:sz w:val="24"/>
          <w:szCs w:val="24"/>
        </w:rPr>
        <w:t xml:space="preserve"> </w:t>
      </w:r>
    </w:p>
    <w:p w:rsidR="00C17DC7" w:rsidRDefault="00C17DC7" w:rsidP="00F405D2">
      <w:pPr>
        <w:spacing w:after="0" w:line="480" w:lineRule="auto"/>
        <w:rPr>
          <w:rFonts w:ascii="Garamond" w:hAnsi="Garamond"/>
          <w:sz w:val="24"/>
          <w:szCs w:val="24"/>
        </w:rPr>
      </w:pPr>
    </w:p>
    <w:p w:rsidR="00D33246" w:rsidRDefault="00D33246" w:rsidP="0080278C">
      <w:pPr>
        <w:spacing w:after="0" w:line="240" w:lineRule="auto"/>
        <w:rPr>
          <w:rFonts w:ascii="Garamond" w:hAnsi="Garamond"/>
          <w:sz w:val="24"/>
          <w:szCs w:val="24"/>
        </w:rPr>
      </w:pPr>
    </w:p>
    <w:p w:rsidR="00D33246" w:rsidRDefault="00D33246" w:rsidP="0080278C">
      <w:pPr>
        <w:spacing w:after="0" w:line="240" w:lineRule="auto"/>
        <w:rPr>
          <w:rFonts w:ascii="Garamond" w:hAnsi="Garamond"/>
          <w:sz w:val="24"/>
          <w:szCs w:val="24"/>
        </w:rPr>
        <w:sectPr w:rsidR="00D33246" w:rsidSect="00303E46">
          <w:pgSz w:w="15840" w:h="12240" w:orient="landscape"/>
          <w:pgMar w:top="1440" w:right="1440" w:bottom="1440" w:left="1440" w:header="720" w:footer="720" w:gutter="0"/>
          <w:cols w:space="720"/>
          <w:docGrid w:linePitch="360"/>
        </w:sectPr>
      </w:pPr>
    </w:p>
    <w:p w:rsidR="001C50D6" w:rsidRDefault="001C50D6" w:rsidP="0080278C">
      <w:pPr>
        <w:spacing w:after="0" w:line="240" w:lineRule="auto"/>
        <w:rPr>
          <w:rFonts w:ascii="Garamond" w:hAnsi="Garamond"/>
          <w:sz w:val="24"/>
          <w:szCs w:val="24"/>
        </w:rPr>
      </w:pPr>
      <w:r>
        <w:rPr>
          <w:rFonts w:ascii="Garamond" w:hAnsi="Garamond"/>
          <w:sz w:val="24"/>
          <w:szCs w:val="24"/>
        </w:rPr>
        <w:lastRenderedPageBreak/>
        <w:t>Table 6:</w:t>
      </w:r>
      <w:r w:rsidR="00131EBD">
        <w:rPr>
          <w:rFonts w:ascii="Garamond" w:hAnsi="Garamond"/>
          <w:sz w:val="24"/>
          <w:szCs w:val="24"/>
        </w:rPr>
        <w:t xml:space="preserve"> Instrument Robustness Checks</w:t>
      </w:r>
      <w:r>
        <w:rPr>
          <w:rFonts w:ascii="Garamond" w:hAnsi="Garamond"/>
          <w:sz w:val="24"/>
          <w:szCs w:val="24"/>
        </w:rPr>
        <w:t xml:space="preserve"> </w:t>
      </w:r>
    </w:p>
    <w:bookmarkStart w:id="5" w:name="_MON_1483195692"/>
    <w:bookmarkEnd w:id="5"/>
    <w:p w:rsidR="0050260B" w:rsidRDefault="00131EBD" w:rsidP="0080278C">
      <w:pPr>
        <w:spacing w:after="0" w:line="240" w:lineRule="auto"/>
        <w:rPr>
          <w:rFonts w:ascii="Garamond" w:hAnsi="Garamond"/>
          <w:sz w:val="24"/>
          <w:szCs w:val="24"/>
        </w:rPr>
      </w:pPr>
      <w:r>
        <w:rPr>
          <w:rFonts w:ascii="Garamond" w:hAnsi="Garamond"/>
          <w:sz w:val="24"/>
          <w:szCs w:val="24"/>
        </w:rPr>
        <w:object w:dxaOrig="10635" w:dyaOrig="11070">
          <v:shape id="_x0000_i1055" type="#_x0000_t75" style="width:531.75pt;height:553.5pt" o:ole="">
            <v:imagedata r:id="rId73" o:title=""/>
          </v:shape>
          <o:OLEObject Type="Embed" ProgID="Excel.Sheet.12" ShapeID="_x0000_i1055" DrawAspect="Content" ObjectID="_1489935326" r:id="rId74"/>
        </w:object>
      </w:r>
      <w:r w:rsidR="001C50D6">
        <w:rPr>
          <w:rFonts w:ascii="Garamond" w:hAnsi="Garamond"/>
          <w:sz w:val="24"/>
          <w:szCs w:val="24"/>
        </w:rPr>
        <w:br w:type="page"/>
      </w:r>
      <w:r w:rsidR="00983FB3">
        <w:rPr>
          <w:rFonts w:ascii="Garamond" w:hAnsi="Garamond"/>
          <w:sz w:val="24"/>
          <w:szCs w:val="24"/>
        </w:rPr>
        <w:lastRenderedPageBreak/>
        <w:t>Table 7</w:t>
      </w:r>
      <w:r w:rsidR="0050260B">
        <w:rPr>
          <w:rFonts w:ascii="Garamond" w:hAnsi="Garamond"/>
          <w:sz w:val="24"/>
          <w:szCs w:val="24"/>
        </w:rPr>
        <w:t>:</w:t>
      </w:r>
      <w:r w:rsidR="0080278C">
        <w:rPr>
          <w:rFonts w:ascii="Garamond" w:hAnsi="Garamond"/>
          <w:sz w:val="24"/>
          <w:szCs w:val="24"/>
        </w:rPr>
        <w:t xml:space="preserve"> Second Stage IV Results </w:t>
      </w:r>
      <w:r w:rsidR="0050260B">
        <w:rPr>
          <w:rFonts w:ascii="Garamond" w:hAnsi="Garamond"/>
          <w:sz w:val="24"/>
          <w:szCs w:val="24"/>
        </w:rPr>
        <w:t xml:space="preserve"> </w:t>
      </w:r>
    </w:p>
    <w:p w:rsidR="00D157AE" w:rsidRDefault="00131EBD" w:rsidP="0080278C">
      <w:pPr>
        <w:spacing w:after="0" w:line="240" w:lineRule="auto"/>
        <w:rPr>
          <w:rFonts w:ascii="Garamond" w:hAnsi="Garamond"/>
          <w:sz w:val="24"/>
          <w:szCs w:val="24"/>
        </w:rPr>
      </w:pPr>
      <w:r>
        <w:rPr>
          <w:rFonts w:ascii="Garamond" w:hAnsi="Garamond"/>
          <w:sz w:val="24"/>
          <w:szCs w:val="24"/>
        </w:rPr>
        <w:object w:dxaOrig="10022" w:dyaOrig="11385">
          <v:shape id="_x0000_i1056" type="#_x0000_t75" style="width:501pt;height:569.25pt" o:ole="">
            <v:imagedata r:id="rId75" o:title=""/>
          </v:shape>
          <o:OLEObject Type="Embed" ProgID="Excel.Sheet.12" ShapeID="_x0000_i1056" DrawAspect="Content" ObjectID="_1489935327" r:id="rId76"/>
        </w:object>
      </w:r>
    </w:p>
    <w:p w:rsidR="009C25D4" w:rsidRDefault="0050260B" w:rsidP="00C95618">
      <w:pPr>
        <w:spacing w:after="0" w:line="480" w:lineRule="auto"/>
        <w:rPr>
          <w:rFonts w:ascii="Garamond" w:hAnsi="Garamond"/>
          <w:sz w:val="24"/>
          <w:szCs w:val="24"/>
        </w:rPr>
      </w:pPr>
      <w:r>
        <w:rPr>
          <w:rFonts w:ascii="Garamond" w:hAnsi="Garamond"/>
          <w:sz w:val="24"/>
          <w:szCs w:val="24"/>
        </w:rPr>
        <w:br w:type="page"/>
      </w:r>
      <w:r w:rsidR="009C25D4">
        <w:rPr>
          <w:rFonts w:ascii="Garamond" w:hAnsi="Garamond"/>
          <w:sz w:val="24"/>
          <w:szCs w:val="24"/>
        </w:rPr>
        <w:lastRenderedPageBreak/>
        <w:t xml:space="preserve">Table 8: Robustness Checks </w:t>
      </w:r>
    </w:p>
    <w:p w:rsidR="009C25D4" w:rsidRDefault="00402AA7" w:rsidP="00C95618">
      <w:pPr>
        <w:spacing w:after="0" w:line="480" w:lineRule="auto"/>
        <w:rPr>
          <w:rFonts w:ascii="Garamond" w:hAnsi="Garamond"/>
          <w:sz w:val="24"/>
          <w:szCs w:val="24"/>
        </w:rPr>
      </w:pPr>
      <w:r>
        <w:rPr>
          <w:rFonts w:ascii="Garamond" w:hAnsi="Garamond"/>
          <w:sz w:val="24"/>
          <w:szCs w:val="24"/>
        </w:rPr>
        <w:object w:dxaOrig="10061" w:dyaOrig="7362">
          <v:shape id="_x0000_i1057" type="#_x0000_t75" style="width:503.25pt;height:368.25pt" o:ole="">
            <v:imagedata r:id="rId77" o:title=""/>
          </v:shape>
          <o:OLEObject Type="Embed" ProgID="Excel.Sheet.12" ShapeID="_x0000_i1057" DrawAspect="Content" ObjectID="_1489935328" r:id="rId78"/>
        </w:object>
      </w:r>
    </w:p>
    <w:p w:rsidR="00E234EA" w:rsidRDefault="009C25D4" w:rsidP="00C95618">
      <w:pPr>
        <w:spacing w:after="0" w:line="480" w:lineRule="auto"/>
        <w:rPr>
          <w:rFonts w:ascii="Garamond" w:hAnsi="Garamond"/>
          <w:sz w:val="24"/>
          <w:szCs w:val="24"/>
        </w:rPr>
      </w:pPr>
      <w:r>
        <w:rPr>
          <w:rFonts w:ascii="Garamond" w:hAnsi="Garamond"/>
          <w:sz w:val="24"/>
          <w:szCs w:val="24"/>
        </w:rPr>
        <w:br w:type="page"/>
      </w:r>
      <w:r w:rsidR="00983FB3">
        <w:rPr>
          <w:rFonts w:ascii="Garamond" w:hAnsi="Garamond"/>
          <w:sz w:val="24"/>
          <w:szCs w:val="24"/>
        </w:rPr>
        <w:lastRenderedPageBreak/>
        <w:t xml:space="preserve">Table </w:t>
      </w:r>
      <w:r>
        <w:rPr>
          <w:rFonts w:ascii="Garamond" w:hAnsi="Garamond"/>
          <w:sz w:val="24"/>
          <w:szCs w:val="24"/>
        </w:rPr>
        <w:t>9</w:t>
      </w:r>
      <w:r w:rsidR="00466C5A">
        <w:rPr>
          <w:rFonts w:ascii="Garamond" w:hAnsi="Garamond"/>
          <w:sz w:val="24"/>
          <w:szCs w:val="24"/>
        </w:rPr>
        <w:t xml:space="preserve">: </w:t>
      </w:r>
      <w:r w:rsidR="00E234EA">
        <w:rPr>
          <w:rFonts w:ascii="Garamond" w:hAnsi="Garamond"/>
          <w:sz w:val="24"/>
          <w:szCs w:val="24"/>
        </w:rPr>
        <w:t>Education, Marriage and Children</w:t>
      </w:r>
      <w:r w:rsidR="003D64C4">
        <w:rPr>
          <w:rFonts w:ascii="Garamond" w:hAnsi="Garamond"/>
          <w:sz w:val="24"/>
          <w:szCs w:val="24"/>
        </w:rPr>
        <w:t xml:space="preserve"> Outcomes</w:t>
      </w:r>
      <w:r w:rsidR="00E234EA">
        <w:rPr>
          <w:rFonts w:ascii="Garamond" w:hAnsi="Garamond"/>
          <w:sz w:val="24"/>
          <w:szCs w:val="24"/>
        </w:rPr>
        <w:t xml:space="preserve">, Second Stage IV Results </w:t>
      </w:r>
    </w:p>
    <w:bookmarkStart w:id="6" w:name="_MON_1476112542"/>
    <w:bookmarkEnd w:id="6"/>
    <w:p w:rsidR="00B325DC" w:rsidRDefault="0015245B" w:rsidP="00C95618">
      <w:pPr>
        <w:spacing w:after="0" w:line="480" w:lineRule="auto"/>
        <w:rPr>
          <w:rFonts w:ascii="Garamond" w:hAnsi="Garamond"/>
          <w:sz w:val="24"/>
          <w:szCs w:val="24"/>
        </w:rPr>
      </w:pPr>
      <w:r>
        <w:rPr>
          <w:rFonts w:ascii="Garamond" w:hAnsi="Garamond"/>
          <w:sz w:val="24"/>
          <w:szCs w:val="24"/>
        </w:rPr>
        <w:object w:dxaOrig="9230" w:dyaOrig="7432">
          <v:shape id="_x0000_i1058" type="#_x0000_t75" style="width:461.25pt;height:371.25pt" o:ole="">
            <v:imagedata r:id="rId79" o:title=""/>
          </v:shape>
          <o:OLEObject Type="Embed" ProgID="Excel.Sheet.12" ShapeID="_x0000_i1058" DrawAspect="Content" ObjectID="_1489935329" r:id="rId80"/>
        </w:object>
      </w:r>
    </w:p>
    <w:p w:rsidR="003D64C4" w:rsidRPr="0073240B" w:rsidRDefault="003D64C4" w:rsidP="00C95618">
      <w:pPr>
        <w:spacing w:after="0" w:line="480" w:lineRule="auto"/>
        <w:rPr>
          <w:rFonts w:ascii="Garamond" w:hAnsi="Garamond"/>
          <w:sz w:val="24"/>
          <w:szCs w:val="24"/>
        </w:rPr>
      </w:pPr>
    </w:p>
    <w:sectPr w:rsidR="003D64C4" w:rsidRPr="0073240B" w:rsidSect="00802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2A" w:rsidRDefault="0097632A" w:rsidP="00C17DC7">
      <w:pPr>
        <w:spacing w:after="0" w:line="240" w:lineRule="auto"/>
      </w:pPr>
      <w:r>
        <w:separator/>
      </w:r>
    </w:p>
  </w:endnote>
  <w:endnote w:type="continuationSeparator" w:id="0">
    <w:p w:rsidR="0097632A" w:rsidRDefault="0097632A" w:rsidP="00C1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MR17">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BD" w:rsidRDefault="005926BD">
    <w:pPr>
      <w:pStyle w:val="Footer"/>
      <w:jc w:val="center"/>
    </w:pPr>
    <w:r>
      <w:fldChar w:fldCharType="begin"/>
    </w:r>
    <w:r>
      <w:instrText xml:space="preserve"> PAGE   \* MERGEFORMAT </w:instrText>
    </w:r>
    <w:r>
      <w:fldChar w:fldCharType="separate"/>
    </w:r>
    <w:r w:rsidR="00E707F7">
      <w:rPr>
        <w:noProof/>
      </w:rPr>
      <w:t>28</w:t>
    </w:r>
    <w:r>
      <w:rPr>
        <w:noProof/>
      </w:rPr>
      <w:fldChar w:fldCharType="end"/>
    </w:r>
  </w:p>
  <w:p w:rsidR="005926BD" w:rsidRDefault="00592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2A" w:rsidRDefault="0097632A" w:rsidP="00C17DC7">
      <w:pPr>
        <w:spacing w:after="0" w:line="240" w:lineRule="auto"/>
      </w:pPr>
      <w:r>
        <w:separator/>
      </w:r>
    </w:p>
  </w:footnote>
  <w:footnote w:type="continuationSeparator" w:id="0">
    <w:p w:rsidR="0097632A" w:rsidRDefault="0097632A" w:rsidP="00C17DC7">
      <w:pPr>
        <w:spacing w:after="0" w:line="240" w:lineRule="auto"/>
      </w:pPr>
      <w:r>
        <w:continuationSeparator/>
      </w:r>
    </w:p>
  </w:footnote>
  <w:footnote w:id="1">
    <w:p w:rsidR="005926BD" w:rsidRPr="00DB3579" w:rsidRDefault="005926BD">
      <w:pPr>
        <w:pStyle w:val="FootnoteText"/>
        <w:rPr>
          <w:rFonts w:ascii="Garamond" w:hAnsi="Garamond"/>
        </w:rPr>
      </w:pPr>
      <w:r w:rsidRPr="00DB3579">
        <w:rPr>
          <w:rStyle w:val="FootnoteReference"/>
          <w:rFonts w:ascii="Garamond" w:hAnsi="Garamond"/>
        </w:rPr>
        <w:footnoteRef/>
      </w:r>
      <w:r w:rsidRPr="00DB3579">
        <w:rPr>
          <w:rFonts w:ascii="Garamond" w:hAnsi="Garamond"/>
        </w:rPr>
        <w:t xml:space="preserve"> The natural rate is about 1.05 with slightly more male birth than female birth </w:t>
      </w:r>
    </w:p>
  </w:footnote>
  <w:footnote w:id="2">
    <w:p w:rsidR="005926BD" w:rsidRPr="007A79C9" w:rsidRDefault="005926BD" w:rsidP="007A79C9">
      <w:pPr>
        <w:spacing w:line="240" w:lineRule="auto"/>
        <w:rPr>
          <w:rFonts w:ascii="Garamond" w:hAnsi="Garamond"/>
          <w:sz w:val="20"/>
          <w:szCs w:val="20"/>
        </w:rPr>
      </w:pPr>
      <w:r w:rsidRPr="007A79C9">
        <w:rPr>
          <w:rStyle w:val="FootnoteReference"/>
          <w:sz w:val="20"/>
          <w:szCs w:val="20"/>
        </w:rPr>
        <w:footnoteRef/>
      </w:r>
      <w:r w:rsidRPr="007A79C9">
        <w:rPr>
          <w:sz w:val="20"/>
          <w:szCs w:val="20"/>
        </w:rPr>
        <w:t xml:space="preserve"> </w:t>
      </w:r>
      <w:r w:rsidRPr="007A79C9">
        <w:rPr>
          <w:rFonts w:ascii="Garamond" w:hAnsi="Garamond"/>
          <w:sz w:val="20"/>
          <w:szCs w:val="20"/>
        </w:rPr>
        <w:t xml:space="preserve">Related literature on sex in the labor market in Mexico by </w:t>
      </w:r>
      <w:proofErr w:type="spellStart"/>
      <w:r w:rsidRPr="007A79C9">
        <w:rPr>
          <w:rFonts w:ascii="Garamond" w:hAnsi="Garamond"/>
          <w:sz w:val="20"/>
          <w:szCs w:val="20"/>
        </w:rPr>
        <w:t>Juhn</w:t>
      </w:r>
      <w:proofErr w:type="spellEnd"/>
      <w:r w:rsidRPr="007A79C9">
        <w:rPr>
          <w:rFonts w:ascii="Garamond" w:hAnsi="Garamond"/>
          <w:sz w:val="20"/>
          <w:szCs w:val="20"/>
        </w:rPr>
        <w:t xml:space="preserve"> et al. (2013, 2014) document changes in occupations for Mexican females due to trade liberalization, where females increased employment and wage shares in blue-collar jobs but not in white-collar jobs. </w:t>
      </w:r>
    </w:p>
  </w:footnote>
  <w:footnote w:id="3">
    <w:p w:rsidR="00677B18" w:rsidRDefault="00677B18">
      <w:pPr>
        <w:pStyle w:val="FootnoteText"/>
      </w:pPr>
      <w:r>
        <w:rPr>
          <w:rStyle w:val="FootnoteReference"/>
        </w:rPr>
        <w:footnoteRef/>
      </w:r>
      <w:r>
        <w:t xml:space="preserve"> </w:t>
      </w:r>
      <w:r w:rsidRPr="00677B18">
        <w:rPr>
          <w:rFonts w:ascii="Garamond" w:hAnsi="Garamond"/>
        </w:rPr>
        <w:t>A November 4, 2014 article in the New York Times documents a similar situation for indigenous women in a rural town of Ecuador, where due to international migration</w:t>
      </w:r>
      <w:r w:rsidR="00E35A01">
        <w:rPr>
          <w:rFonts w:ascii="Garamond" w:hAnsi="Garamond"/>
        </w:rPr>
        <w:t xml:space="preserve"> of mostly men</w:t>
      </w:r>
      <w:r w:rsidRPr="00677B18">
        <w:rPr>
          <w:rFonts w:ascii="Garamond" w:hAnsi="Garamond"/>
        </w:rPr>
        <w:t xml:space="preserve">, women have gotten “unprecedented access to education and jobs, freedom of movement and financial independence.” </w:t>
      </w:r>
      <w:r>
        <w:rPr>
          <w:rFonts w:ascii="Garamond" w:hAnsi="Garamond"/>
        </w:rPr>
        <w:t xml:space="preserve">Source: </w:t>
      </w:r>
      <w:r w:rsidRPr="00677B18">
        <w:rPr>
          <w:rFonts w:ascii="Garamond" w:hAnsi="Garamond"/>
        </w:rPr>
        <w:t>http://www.nytimes.com/2014/11/05/opinion/a-boon-for-the-women-of-ecuador.html?emc=eta1</w:t>
      </w:r>
    </w:p>
  </w:footnote>
  <w:footnote w:id="4">
    <w:p w:rsidR="005926BD" w:rsidRPr="00EF130F" w:rsidRDefault="005926BD" w:rsidP="00DB7C0A">
      <w:pPr>
        <w:pStyle w:val="FootnoteText"/>
        <w:rPr>
          <w:rFonts w:ascii="Garamond" w:hAnsi="Garamond"/>
          <w:sz w:val="22"/>
          <w:szCs w:val="22"/>
        </w:rPr>
      </w:pPr>
      <w:r w:rsidRPr="007A79C9">
        <w:rPr>
          <w:rStyle w:val="FootnoteReference"/>
          <w:rFonts w:ascii="Garamond" w:hAnsi="Garamond"/>
        </w:rPr>
        <w:footnoteRef/>
      </w:r>
      <w:r w:rsidRPr="007A79C9">
        <w:rPr>
          <w:rFonts w:ascii="Garamond" w:hAnsi="Garamond"/>
        </w:rPr>
        <w:t xml:space="preserve"> For direct effects of migration on the Mexican labor market see </w:t>
      </w:r>
      <w:proofErr w:type="spellStart"/>
      <w:r w:rsidRPr="007A79C9">
        <w:rPr>
          <w:rFonts w:ascii="Garamond" w:hAnsi="Garamond"/>
        </w:rPr>
        <w:t>Chiquiar</w:t>
      </w:r>
      <w:proofErr w:type="spellEnd"/>
      <w:r w:rsidRPr="007A79C9">
        <w:rPr>
          <w:rFonts w:ascii="Garamond" w:hAnsi="Garamond"/>
        </w:rPr>
        <w:t xml:space="preserve"> and Hanson 2005 and Mishra 2007.</w:t>
      </w:r>
    </w:p>
  </w:footnote>
  <w:footnote w:id="5">
    <w:p w:rsidR="005926BD" w:rsidRPr="004F3432" w:rsidRDefault="005926BD">
      <w:pPr>
        <w:pStyle w:val="FootnoteText"/>
        <w:rPr>
          <w:rFonts w:ascii="Garamond" w:hAnsi="Garamond"/>
        </w:rPr>
      </w:pPr>
      <w:r w:rsidRPr="004F3432">
        <w:rPr>
          <w:rStyle w:val="FootnoteReference"/>
          <w:rFonts w:ascii="Garamond" w:hAnsi="Garamond"/>
        </w:rPr>
        <w:footnoteRef/>
      </w:r>
      <w:r w:rsidRPr="004F3432">
        <w:rPr>
          <w:rFonts w:ascii="Garamond" w:hAnsi="Garamond"/>
        </w:rPr>
        <w:t xml:space="preserve"> In the robustness section we redefine the age groups using 5 and 10 years and find that the results are XXX.</w:t>
      </w:r>
    </w:p>
  </w:footnote>
  <w:footnote w:id="6">
    <w:p w:rsidR="00C9740B" w:rsidRDefault="00C9740B">
      <w:pPr>
        <w:pStyle w:val="FootnoteText"/>
      </w:pPr>
      <w:r w:rsidRPr="00C9740B">
        <w:rPr>
          <w:rStyle w:val="FootnoteReference"/>
          <w:rFonts w:ascii="Garamond" w:hAnsi="Garamond"/>
        </w:rPr>
        <w:footnoteRef/>
      </w:r>
      <w:r w:rsidRPr="00C9740B">
        <w:rPr>
          <w:rFonts w:ascii="Garamond" w:hAnsi="Garamond"/>
        </w:rPr>
        <w:t xml:space="preserve"> This is based on data showing large differences in international migration rates but negligible differences in national migration rates by sex.</w:t>
      </w:r>
      <w:r>
        <w:rPr>
          <w:rFonts w:ascii="Garamond" w:hAnsi="Garamond"/>
        </w:rPr>
        <w:t xml:space="preserve"> </w:t>
      </w:r>
    </w:p>
  </w:footnote>
  <w:footnote w:id="7">
    <w:p w:rsidR="008B4BE0" w:rsidRDefault="008B4BE0">
      <w:pPr>
        <w:pStyle w:val="FootnoteText"/>
      </w:pPr>
      <w:r w:rsidRPr="008B4BE0">
        <w:rPr>
          <w:rStyle w:val="FootnoteReference"/>
          <w:rFonts w:ascii="Garamond" w:hAnsi="Garamond"/>
        </w:rPr>
        <w:footnoteRef/>
      </w:r>
      <w:r w:rsidRPr="008B4BE0">
        <w:rPr>
          <w:rStyle w:val="FootnoteReference"/>
          <w:rFonts w:ascii="Garamond" w:hAnsi="Garamond"/>
        </w:rPr>
        <w:t xml:space="preserve"> </w:t>
      </w:r>
      <w:r w:rsidRPr="008B4BE0">
        <w:rPr>
          <w:rFonts w:ascii="Garamond" w:hAnsi="Garamond"/>
        </w:rPr>
        <w:t xml:space="preserve">For example, according to the 2009 Encuesta Nacional de la </w:t>
      </w:r>
      <w:proofErr w:type="spellStart"/>
      <w:r w:rsidRPr="008B4BE0">
        <w:rPr>
          <w:rFonts w:ascii="Garamond" w:hAnsi="Garamond"/>
        </w:rPr>
        <w:t>Dinámica</w:t>
      </w:r>
      <w:proofErr w:type="spellEnd"/>
      <w:r w:rsidRPr="008B4BE0">
        <w:rPr>
          <w:rFonts w:ascii="Garamond" w:hAnsi="Garamond"/>
        </w:rPr>
        <w:t xml:space="preserve"> </w:t>
      </w:r>
      <w:proofErr w:type="spellStart"/>
      <w:r w:rsidRPr="008B4BE0">
        <w:rPr>
          <w:rFonts w:ascii="Garamond" w:hAnsi="Garamond"/>
        </w:rPr>
        <w:t>Demográfica</w:t>
      </w:r>
      <w:proofErr w:type="spellEnd"/>
      <w:r w:rsidRPr="008B4BE0">
        <w:rPr>
          <w:rFonts w:ascii="Garamond" w:hAnsi="Garamond"/>
        </w:rPr>
        <w:t xml:space="preserve"> (ENADID, or the National Survey of Demographic Dynamics), a nationally representative survey that captures national and international migration over the past five years, 76% of international migrants to the U.S. over the 2004-2009 period were men, while only 50% of national migrants were men</w:t>
      </w:r>
      <w:r w:rsidRPr="008B4BE0">
        <w:t>.</w:t>
      </w:r>
    </w:p>
  </w:footnote>
  <w:footnote w:id="8">
    <w:p w:rsidR="005926BD" w:rsidRDefault="005926BD">
      <w:pPr>
        <w:pStyle w:val="FootnoteText"/>
      </w:pPr>
      <w:r>
        <w:rPr>
          <w:rStyle w:val="FootnoteReference"/>
        </w:rPr>
        <w:footnoteRef/>
      </w:r>
      <w:r w:rsidRPr="008F654E">
        <w:t xml:space="preserve"> </w:t>
      </w:r>
      <w:r w:rsidR="00AD22C9">
        <w:t>A</w:t>
      </w:r>
      <w:r w:rsidR="00AD22C9">
        <w:rPr>
          <w:rFonts w:ascii="Garamond" w:hAnsi="Garamond"/>
        </w:rPr>
        <w:t>s</w:t>
      </w:r>
      <w:r w:rsidR="00AD22C9" w:rsidRPr="008F654E">
        <w:rPr>
          <w:rFonts w:ascii="Garamond" w:hAnsi="Garamond"/>
        </w:rPr>
        <w:t xml:space="preserve"> </w:t>
      </w:r>
      <w:r w:rsidR="00AD22C9">
        <w:rPr>
          <w:rFonts w:ascii="Garamond" w:hAnsi="Garamond"/>
        </w:rPr>
        <w:t xml:space="preserve">alternative indices </w:t>
      </w:r>
      <w:r w:rsidR="00AD22C9" w:rsidRPr="008F654E">
        <w:rPr>
          <w:rFonts w:ascii="Garamond" w:hAnsi="Garamond"/>
        </w:rPr>
        <w:t xml:space="preserve">of </w:t>
      </w:r>
      <w:r w:rsidR="00AD22C9">
        <w:rPr>
          <w:rFonts w:ascii="Garamond" w:hAnsi="Garamond"/>
        </w:rPr>
        <w:t>migration incidenc</w:t>
      </w:r>
      <w:r w:rsidR="00377090">
        <w:rPr>
          <w:rFonts w:ascii="Garamond" w:hAnsi="Garamond"/>
        </w:rPr>
        <w:t>e</w:t>
      </w:r>
      <w:r w:rsidR="00AD22C9">
        <w:rPr>
          <w:rFonts w:ascii="Garamond" w:hAnsi="Garamond"/>
        </w:rPr>
        <w:t>, we</w:t>
      </w:r>
      <w:r w:rsidR="00377090">
        <w:rPr>
          <w:rFonts w:ascii="Garamond" w:hAnsi="Garamond"/>
        </w:rPr>
        <w:t xml:space="preserve"> also consider percentage of households </w:t>
      </w:r>
      <w:r w:rsidRPr="008F654E">
        <w:rPr>
          <w:rFonts w:ascii="Garamond" w:hAnsi="Garamond"/>
        </w:rPr>
        <w:t>that receive remittances</w:t>
      </w:r>
      <w:r w:rsidR="000C4417">
        <w:rPr>
          <w:rFonts w:ascii="Garamond" w:hAnsi="Garamond"/>
        </w:rPr>
        <w:t>, and the percentage</w:t>
      </w:r>
      <w:r w:rsidR="00AD22C9">
        <w:rPr>
          <w:rFonts w:ascii="Garamond" w:hAnsi="Garamond"/>
        </w:rPr>
        <w:t xml:space="preserve"> of households</w:t>
      </w:r>
      <w:r w:rsidR="000C4417">
        <w:rPr>
          <w:rFonts w:ascii="Garamond" w:hAnsi="Garamond"/>
        </w:rPr>
        <w:t xml:space="preserve"> that </w:t>
      </w:r>
      <w:r w:rsidR="00AD22C9">
        <w:rPr>
          <w:rFonts w:ascii="Garamond" w:hAnsi="Garamond"/>
        </w:rPr>
        <w:t>had</w:t>
      </w:r>
      <w:r w:rsidR="000C4417">
        <w:rPr>
          <w:rFonts w:ascii="Garamond" w:hAnsi="Garamond"/>
        </w:rPr>
        <w:t xml:space="preserve"> return migrants</w:t>
      </w:r>
      <w:r w:rsidR="00AD22C9">
        <w:rPr>
          <w:rFonts w:ascii="Garamond" w:hAnsi="Garamond"/>
        </w:rPr>
        <w:t xml:space="preserve">. We </w:t>
      </w:r>
      <w:r w:rsidR="000C4417">
        <w:rPr>
          <w:rFonts w:ascii="Garamond" w:hAnsi="Garamond"/>
        </w:rPr>
        <w:t>find XXX ROBUST RESULTS?</w:t>
      </w:r>
    </w:p>
  </w:footnote>
  <w:footnote w:id="9">
    <w:p w:rsidR="005926BD" w:rsidRPr="00107A65" w:rsidRDefault="005926BD">
      <w:pPr>
        <w:pStyle w:val="FootnoteText"/>
      </w:pPr>
      <w:r>
        <w:rPr>
          <w:rStyle w:val="FootnoteReference"/>
        </w:rPr>
        <w:footnoteRef/>
      </w:r>
      <w:r>
        <w:t xml:space="preserve"> </w:t>
      </w:r>
      <w:r w:rsidRPr="00107A65">
        <w:rPr>
          <w:rFonts w:ascii="Garamond" w:hAnsi="Garamond"/>
        </w:rPr>
        <w:t>For example, in the year 2010 international migration explained 56% of the variation across states in the sex ratios of 18-25 year olds, while homicides explain only 3% of the variation.  Thus this large event which affected young men in particular states does little to explain sex ratios.</w:t>
      </w:r>
    </w:p>
  </w:footnote>
  <w:footnote w:id="10">
    <w:p w:rsidR="005926BD" w:rsidRPr="009D532B" w:rsidRDefault="005926BD" w:rsidP="009D532B">
      <w:pPr>
        <w:pStyle w:val="FootnoteText"/>
        <w:spacing w:after="0"/>
        <w:rPr>
          <w:rFonts w:ascii="Garamond" w:hAnsi="Garamond"/>
        </w:rPr>
      </w:pPr>
      <w:r w:rsidRPr="00107A65">
        <w:rPr>
          <w:rStyle w:val="FootnoteReference"/>
        </w:rPr>
        <w:footnoteRef/>
      </w:r>
      <w:r w:rsidRPr="00107A65">
        <w:rPr>
          <w:rFonts w:ascii="Garamond" w:hAnsi="Garamond"/>
        </w:rPr>
        <w:t xml:space="preserve"> O</w:t>
      </w:r>
      <w:r w:rsidRPr="009D532B">
        <w:rPr>
          <w:rFonts w:ascii="Garamond" w:hAnsi="Garamond"/>
        </w:rPr>
        <w:t>ur categorization system is available upon request</w:t>
      </w:r>
      <w:r>
        <w:rPr>
          <w:rFonts w:ascii="Garamond" w:hAnsi="Garamond"/>
        </w:rPr>
        <w:t>. This categorization following the current literature on brawn-intensive and brain-intensive occupations, which a number of authors have employed in the Mexican context (</w:t>
      </w:r>
      <w:proofErr w:type="spellStart"/>
      <w:r>
        <w:rPr>
          <w:rFonts w:ascii="Garamond" w:hAnsi="Garamond"/>
        </w:rPr>
        <w:t>Vogl</w:t>
      </w:r>
      <w:proofErr w:type="spellEnd"/>
      <w:r>
        <w:rPr>
          <w:rFonts w:ascii="Garamond" w:hAnsi="Garamond"/>
        </w:rPr>
        <w:t xml:space="preserve"> 2014;</w:t>
      </w:r>
      <w:r w:rsidR="001847A9">
        <w:rPr>
          <w:rFonts w:ascii="Garamond" w:hAnsi="Garamond"/>
        </w:rPr>
        <w:t xml:space="preserve"> </w:t>
      </w:r>
      <w:proofErr w:type="spellStart"/>
      <w:r w:rsidR="001847A9">
        <w:rPr>
          <w:rFonts w:ascii="Garamond" w:hAnsi="Garamond"/>
        </w:rPr>
        <w:t>Rendall</w:t>
      </w:r>
      <w:proofErr w:type="spellEnd"/>
      <w:r w:rsidR="001847A9">
        <w:rPr>
          <w:rFonts w:ascii="Garamond" w:hAnsi="Garamond"/>
        </w:rPr>
        <w:t xml:space="preserve"> 2013; </w:t>
      </w:r>
      <w:proofErr w:type="spellStart"/>
      <w:r w:rsidR="001847A9">
        <w:rPr>
          <w:rFonts w:ascii="Garamond" w:hAnsi="Garamond"/>
        </w:rPr>
        <w:t>Bhalotra</w:t>
      </w:r>
      <w:proofErr w:type="spellEnd"/>
      <w:r w:rsidR="001847A9">
        <w:rPr>
          <w:rFonts w:ascii="Garamond" w:hAnsi="Garamond"/>
        </w:rPr>
        <w:t xml:space="preserve"> et al. </w:t>
      </w:r>
      <w:r>
        <w:rPr>
          <w:rFonts w:ascii="Garamond" w:hAnsi="Garamond"/>
        </w:rPr>
        <w:t xml:space="preserve">2015). </w:t>
      </w:r>
    </w:p>
  </w:footnote>
  <w:footnote w:id="11">
    <w:p w:rsidR="005926BD" w:rsidRDefault="005926BD">
      <w:pPr>
        <w:pStyle w:val="FootnoteText"/>
      </w:pPr>
      <w:r>
        <w:rPr>
          <w:rStyle w:val="FootnoteReference"/>
        </w:rPr>
        <w:footnoteRef/>
      </w:r>
      <w:r w:rsidRPr="00941EF9">
        <w:rPr>
          <w:rFonts w:ascii="Garamond" w:hAnsi="Garamond"/>
        </w:rPr>
        <w:t xml:space="preserve"> The averages by state, cohort and year are constructed including individuals who report zero income.</w:t>
      </w:r>
    </w:p>
  </w:footnote>
  <w:footnote w:id="12">
    <w:p w:rsidR="005926BD" w:rsidRPr="007A79C9" w:rsidRDefault="005926BD" w:rsidP="0060632D">
      <w:pPr>
        <w:pStyle w:val="FootnoteText"/>
        <w:rPr>
          <w:rFonts w:ascii="Garamond" w:hAnsi="Garamond"/>
        </w:rPr>
      </w:pPr>
      <w:r w:rsidRPr="007A79C9">
        <w:rPr>
          <w:rStyle w:val="FootnoteReference"/>
          <w:rFonts w:ascii="Garamond" w:hAnsi="Garamond"/>
        </w:rPr>
        <w:footnoteRef/>
      </w:r>
      <w:r w:rsidRPr="007A79C9">
        <w:rPr>
          <w:rFonts w:ascii="Garamond" w:hAnsi="Garamond"/>
        </w:rPr>
        <w:t xml:space="preserve"> The use of an exogenous instrument for local migration demand </w:t>
      </w:r>
      <w:r>
        <w:rPr>
          <w:rFonts w:ascii="Garamond" w:hAnsi="Garamond"/>
        </w:rPr>
        <w:t>is also similar to</w:t>
      </w:r>
      <w:r w:rsidRPr="007A79C9">
        <w:rPr>
          <w:rFonts w:ascii="Garamond" w:hAnsi="Garamond"/>
        </w:rPr>
        <w:t xml:space="preserve"> a </w:t>
      </w:r>
      <w:proofErr w:type="spellStart"/>
      <w:r w:rsidRPr="007A79C9">
        <w:rPr>
          <w:rFonts w:ascii="Garamond" w:hAnsi="Garamond"/>
        </w:rPr>
        <w:t>Bartik</w:t>
      </w:r>
      <w:proofErr w:type="spellEnd"/>
      <w:r w:rsidRPr="007A79C9">
        <w:rPr>
          <w:rFonts w:ascii="Garamond" w:hAnsi="Garamond"/>
        </w:rPr>
        <w:t xml:space="preserve">-style instrument (see </w:t>
      </w:r>
      <w:proofErr w:type="spellStart"/>
      <w:r w:rsidRPr="007A79C9">
        <w:rPr>
          <w:rFonts w:ascii="Garamond" w:hAnsi="Garamond"/>
        </w:rPr>
        <w:t>Theoharides</w:t>
      </w:r>
      <w:proofErr w:type="spellEnd"/>
      <w:r w:rsidRPr="007A79C9">
        <w:rPr>
          <w:rFonts w:ascii="Garamond" w:hAnsi="Garamond"/>
        </w:rPr>
        <w:t xml:space="preserve"> 2013).</w:t>
      </w:r>
    </w:p>
  </w:footnote>
  <w:footnote w:id="13">
    <w:p w:rsidR="005926BD" w:rsidRPr="00DB3579" w:rsidRDefault="005926BD">
      <w:pPr>
        <w:pStyle w:val="FootnoteText"/>
        <w:rPr>
          <w:rFonts w:ascii="Garamond" w:hAnsi="Garamond"/>
        </w:rPr>
      </w:pPr>
      <w:r w:rsidRPr="00DB3579">
        <w:rPr>
          <w:rStyle w:val="FootnoteReference"/>
          <w:rFonts w:ascii="Garamond" w:hAnsi="Garamond"/>
        </w:rPr>
        <w:footnoteRef/>
      </w:r>
      <w:r w:rsidRPr="00DB3579">
        <w:rPr>
          <w:rFonts w:ascii="Garamond" w:hAnsi="Garamond"/>
        </w:rPr>
        <w:t xml:space="preserve"> The table with results for all 50 states is available upon request.  In the interest of visual clarity, we limit this table to 12 states.  This provides sufficient variation in receiving locations in the U.S. while still being readable.  </w:t>
      </w:r>
    </w:p>
  </w:footnote>
  <w:footnote w:id="14">
    <w:p w:rsidR="005926BD" w:rsidRPr="007A79C9" w:rsidRDefault="005926BD" w:rsidP="00943D32">
      <w:pPr>
        <w:spacing w:before="100" w:beforeAutospacing="1" w:after="0" w:line="240" w:lineRule="auto"/>
        <w:rPr>
          <w:rFonts w:ascii="Garamond" w:eastAsia="Times New Roman" w:hAnsi="Garamond"/>
          <w:sz w:val="20"/>
          <w:szCs w:val="20"/>
        </w:rPr>
      </w:pPr>
      <w:r w:rsidRPr="007A79C9">
        <w:rPr>
          <w:rStyle w:val="FootnoteReference"/>
          <w:rFonts w:ascii="Garamond" w:hAnsi="Garamond"/>
          <w:sz w:val="20"/>
          <w:szCs w:val="20"/>
        </w:rPr>
        <w:footnoteRef/>
      </w:r>
      <w:r w:rsidRPr="007A79C9">
        <w:rPr>
          <w:rFonts w:ascii="Garamond" w:hAnsi="Garamond"/>
          <w:sz w:val="20"/>
          <w:szCs w:val="20"/>
          <w:lang w:val="es-CO"/>
        </w:rPr>
        <w:t xml:space="preserve"> </w:t>
      </w:r>
      <w:proofErr w:type="spellStart"/>
      <w:r w:rsidRPr="007A79C9">
        <w:rPr>
          <w:rFonts w:ascii="Garamond" w:eastAsia="Times New Roman" w:hAnsi="Garamond"/>
          <w:sz w:val="20"/>
          <w:szCs w:val="20"/>
          <w:lang w:val="es-CO"/>
        </w:rPr>
        <w:t>Source</w:t>
      </w:r>
      <w:proofErr w:type="spellEnd"/>
      <w:r w:rsidRPr="007A79C9">
        <w:rPr>
          <w:rFonts w:ascii="Garamond" w:eastAsia="Times New Roman" w:hAnsi="Garamond"/>
          <w:sz w:val="20"/>
          <w:szCs w:val="20"/>
          <w:lang w:val="es-CO"/>
        </w:rPr>
        <w:t xml:space="preserve">: El Colegio de la Frontera Norte, Secretaría del Trabajo y Previsión Social, Consejo Nacional de Población, Instituto Nacional de Migración, Secretaría de  Relaciones Exteriores, Encuesta sobre Migración en la Frontera Norte de </w:t>
      </w:r>
      <w:proofErr w:type="spellStart"/>
      <w:r w:rsidRPr="007A79C9">
        <w:rPr>
          <w:rFonts w:ascii="Garamond" w:eastAsia="Times New Roman" w:hAnsi="Garamond"/>
          <w:sz w:val="20"/>
          <w:szCs w:val="20"/>
          <w:lang w:val="es-CO"/>
        </w:rPr>
        <w:t>México,</w:t>
      </w:r>
      <w:hyperlink r:id="rId1" w:tgtFrame="_blank" w:history="1">
        <w:r w:rsidRPr="007A79C9">
          <w:rPr>
            <w:rFonts w:ascii="Garamond" w:eastAsia="Times New Roman" w:hAnsi="Garamond"/>
            <w:color w:val="0000FF"/>
            <w:sz w:val="20"/>
            <w:szCs w:val="20"/>
            <w:u w:val="single"/>
            <w:lang w:val="es-CO"/>
          </w:rPr>
          <w:t>www.colef.mx</w:t>
        </w:r>
        <w:proofErr w:type="spellEnd"/>
        <w:r w:rsidRPr="007A79C9">
          <w:rPr>
            <w:rFonts w:ascii="Garamond" w:eastAsia="Times New Roman" w:hAnsi="Garamond"/>
            <w:color w:val="0000FF"/>
            <w:sz w:val="20"/>
            <w:szCs w:val="20"/>
            <w:u w:val="single"/>
            <w:lang w:val="es-CO"/>
          </w:rPr>
          <w:t>/emif</w:t>
        </w:r>
      </w:hyperlink>
      <w:r w:rsidRPr="007A79C9">
        <w:rPr>
          <w:rFonts w:ascii="Garamond" w:eastAsia="Times New Roman" w:hAnsi="Garamond"/>
          <w:sz w:val="20"/>
          <w:szCs w:val="20"/>
          <w:lang w:val="es-CO"/>
        </w:rPr>
        <w:t xml:space="preserve">.  </w:t>
      </w:r>
      <w:r w:rsidRPr="007A79C9">
        <w:rPr>
          <w:rFonts w:ascii="Garamond" w:eastAsia="Times New Roman" w:hAnsi="Garamond"/>
          <w:sz w:val="20"/>
          <w:szCs w:val="20"/>
        </w:rPr>
        <w:t xml:space="preserve">According to EMIF methodology document, 94 percent of migrants travel through one of 8 locations. </w:t>
      </w:r>
      <w:hyperlink r:id="rId2" w:tgtFrame="_blank" w:history="1">
        <w:r w:rsidRPr="007A79C9">
          <w:rPr>
            <w:rFonts w:ascii="Garamond" w:eastAsia="Times New Roman" w:hAnsi="Garamond"/>
            <w:color w:val="0000FF"/>
            <w:sz w:val="20"/>
            <w:szCs w:val="20"/>
            <w:u w:val="single"/>
          </w:rPr>
          <w:t>http://www.colef.mx/emif/metodologia/docsmetodologicos/Metodologia%20Emif%20Norte%20y%20Sur.pdf</w:t>
        </w:r>
      </w:hyperlink>
      <w:r w:rsidRPr="007A79C9">
        <w:rPr>
          <w:rFonts w:ascii="Garamond" w:eastAsia="Times New Roman" w:hAnsi="Garamond"/>
          <w:sz w:val="20"/>
          <w:szCs w:val="20"/>
        </w:rPr>
        <w:t xml:space="preserve"> </w:t>
      </w:r>
    </w:p>
  </w:footnote>
  <w:footnote w:id="15">
    <w:p w:rsidR="005926BD" w:rsidRPr="004F523D" w:rsidRDefault="005926BD" w:rsidP="004F523D">
      <w:pPr>
        <w:pStyle w:val="FootnoteText"/>
        <w:spacing w:after="0"/>
        <w:rPr>
          <w:rFonts w:ascii="Garamond" w:hAnsi="Garamond"/>
        </w:rPr>
      </w:pPr>
      <w:r w:rsidRPr="004F523D">
        <w:rPr>
          <w:rStyle w:val="FootnoteReference"/>
          <w:rFonts w:ascii="Garamond" w:hAnsi="Garamond"/>
        </w:rPr>
        <w:footnoteRef/>
      </w:r>
      <w:r w:rsidRPr="004F523D">
        <w:rPr>
          <w:rFonts w:ascii="Garamond" w:hAnsi="Garamond"/>
        </w:rPr>
        <w:t xml:space="preserve"> We thank Ann</w:t>
      </w:r>
      <w:r>
        <w:rPr>
          <w:rFonts w:ascii="Garamond" w:hAnsi="Garamond"/>
        </w:rPr>
        <w:t>e</w:t>
      </w:r>
      <w:r w:rsidRPr="004F523D">
        <w:rPr>
          <w:rFonts w:ascii="Garamond" w:hAnsi="Garamond"/>
        </w:rPr>
        <w:t xml:space="preserve"> Le </w:t>
      </w:r>
      <w:proofErr w:type="spellStart"/>
      <w:r w:rsidRPr="004F523D">
        <w:rPr>
          <w:rFonts w:ascii="Garamond" w:hAnsi="Garamond"/>
        </w:rPr>
        <w:t>Brun</w:t>
      </w:r>
      <w:proofErr w:type="spellEnd"/>
      <w:r w:rsidRPr="004F523D">
        <w:rPr>
          <w:rFonts w:ascii="Garamond" w:hAnsi="Garamond"/>
        </w:rPr>
        <w:t xml:space="preserve"> for</w:t>
      </w:r>
      <w:r>
        <w:rPr>
          <w:rFonts w:ascii="Garamond" w:hAnsi="Garamond"/>
        </w:rPr>
        <w:t xml:space="preserve"> suggesting these data source in a Card style instrumental variable.</w:t>
      </w:r>
    </w:p>
  </w:footnote>
  <w:footnote w:id="16">
    <w:p w:rsidR="005926BD" w:rsidRDefault="005926BD" w:rsidP="004F523D">
      <w:pPr>
        <w:pStyle w:val="FootnoteText"/>
        <w:spacing w:after="0" w:line="240" w:lineRule="auto"/>
      </w:pPr>
      <w:r w:rsidRPr="007A79C9">
        <w:rPr>
          <w:rStyle w:val="FootnoteReference"/>
          <w:rFonts w:ascii="Garamond" w:hAnsi="Garamond"/>
        </w:rPr>
        <w:footnoteRef/>
      </w:r>
      <w:r w:rsidRPr="007A79C9">
        <w:rPr>
          <w:rFonts w:ascii="Garamond" w:hAnsi="Garamond"/>
        </w:rPr>
        <w:t xml:space="preserve"> </w:t>
      </w:r>
      <w:r w:rsidRPr="007A79C9">
        <w:rPr>
          <w:rFonts w:ascii="Garamond" w:eastAsia="Times New Roman" w:hAnsi="Garamond"/>
        </w:rPr>
        <w:t>Specifically, we use data from surveys in 1995, 2001, 2002,</w:t>
      </w:r>
      <w:r>
        <w:rPr>
          <w:rFonts w:ascii="Garamond" w:eastAsia="Times New Roman" w:hAnsi="Garamond"/>
        </w:rPr>
        <w:t xml:space="preserve"> </w:t>
      </w:r>
      <w:r w:rsidRPr="007A79C9">
        <w:rPr>
          <w:rFonts w:ascii="Garamond" w:eastAsia="Times New Roman" w:hAnsi="Garamond"/>
        </w:rPr>
        <w:t>2008, and 2011.</w:t>
      </w:r>
    </w:p>
  </w:footnote>
  <w:footnote w:id="17">
    <w:p w:rsidR="005926BD" w:rsidRPr="007A79C9" w:rsidRDefault="005926BD" w:rsidP="007A6DEA">
      <w:pPr>
        <w:pStyle w:val="FootnoteText"/>
        <w:spacing w:after="0" w:line="240" w:lineRule="auto"/>
        <w:rPr>
          <w:rFonts w:ascii="Garamond" w:hAnsi="Garamond"/>
        </w:rPr>
      </w:pPr>
      <w:r w:rsidRPr="007A79C9">
        <w:rPr>
          <w:rStyle w:val="FootnoteReference"/>
          <w:rFonts w:ascii="Garamond" w:hAnsi="Garamond"/>
        </w:rPr>
        <w:footnoteRef/>
      </w:r>
      <w:r w:rsidRPr="007A79C9">
        <w:rPr>
          <w:rFonts w:ascii="Garamond" w:hAnsi="Garamond"/>
        </w:rPr>
        <w:t xml:space="preserve"> http://www.ime.gob.mx/es/estadisticas-de-mexicanos-en-estados-unidos</w:t>
      </w:r>
    </w:p>
  </w:footnote>
  <w:footnote w:id="18">
    <w:p w:rsidR="005926BD" w:rsidRDefault="005926BD" w:rsidP="007A6DEA">
      <w:pPr>
        <w:pStyle w:val="FootnoteText"/>
        <w:spacing w:after="0" w:line="240" w:lineRule="auto"/>
      </w:pPr>
      <w:r w:rsidRPr="007A79C9">
        <w:rPr>
          <w:rStyle w:val="FootnoteReference"/>
          <w:rFonts w:ascii="Garamond" w:hAnsi="Garamond"/>
        </w:rPr>
        <w:footnoteRef/>
      </w:r>
      <w:r w:rsidRPr="007A79C9">
        <w:rPr>
          <w:rFonts w:ascii="Garamond" w:hAnsi="Garamond"/>
        </w:rPr>
        <w:t xml:space="preserve"> Correspondence </w:t>
      </w:r>
      <w:r w:rsidRPr="007A6DEA">
        <w:rPr>
          <w:rFonts w:ascii="Garamond" w:hAnsi="Garamond"/>
        </w:rPr>
        <w:t xml:space="preserve">from </w:t>
      </w:r>
      <w:proofErr w:type="spellStart"/>
      <w:r w:rsidRPr="007A6DEA">
        <w:rPr>
          <w:rFonts w:ascii="Garamond" w:hAnsi="Garamond"/>
        </w:rPr>
        <w:t>Dirección</w:t>
      </w:r>
      <w:proofErr w:type="spellEnd"/>
      <w:r w:rsidRPr="007A6DEA">
        <w:rPr>
          <w:rFonts w:ascii="Garamond" w:hAnsi="Garamond"/>
        </w:rPr>
        <w:t xml:space="preserve"> IME Global on 17th July 2014.</w:t>
      </w:r>
    </w:p>
  </w:footnote>
  <w:footnote w:id="19">
    <w:p w:rsidR="005926BD" w:rsidRPr="00DB3579" w:rsidRDefault="005926BD">
      <w:pPr>
        <w:pStyle w:val="FootnoteText"/>
        <w:rPr>
          <w:rFonts w:ascii="Garamond" w:hAnsi="Garamond"/>
        </w:rPr>
      </w:pPr>
      <w:r w:rsidRPr="00DB3579">
        <w:rPr>
          <w:rStyle w:val="FootnoteReference"/>
          <w:rFonts w:ascii="Garamond" w:hAnsi="Garamond"/>
        </w:rPr>
        <w:footnoteRef/>
      </w:r>
      <w:r w:rsidRPr="00DB3579">
        <w:rPr>
          <w:rFonts w:ascii="Garamond" w:hAnsi="Garamond"/>
        </w:rPr>
        <w:t xml:space="preserve"> For instance, the correlatio</w:t>
      </w:r>
      <w:r w:rsidR="00F27C47">
        <w:rPr>
          <w:rFonts w:ascii="Garamond" w:hAnsi="Garamond"/>
        </w:rPr>
        <w:t xml:space="preserve">n of the U.S. states to receive </w:t>
      </w:r>
      <w:r w:rsidRPr="00DB3579">
        <w:rPr>
          <w:rFonts w:ascii="Garamond" w:hAnsi="Garamond"/>
        </w:rPr>
        <w:t xml:space="preserve">the majority of migrants for the 1940s and 1950s is 0.93, based on US census data.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2DB"/>
    <w:multiLevelType w:val="hybridMultilevel"/>
    <w:tmpl w:val="3F1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65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8A293A"/>
    <w:multiLevelType w:val="multilevel"/>
    <w:tmpl w:val="E20C7EC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7235C8"/>
    <w:multiLevelType w:val="hybridMultilevel"/>
    <w:tmpl w:val="AD9E3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F2D6A"/>
    <w:multiLevelType w:val="hybridMultilevel"/>
    <w:tmpl w:val="C6006DC8"/>
    <w:lvl w:ilvl="0" w:tplc="E698E3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6D7A35"/>
    <w:multiLevelType w:val="hybridMultilevel"/>
    <w:tmpl w:val="36C6C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171A32"/>
    <w:multiLevelType w:val="hybridMultilevel"/>
    <w:tmpl w:val="C4A2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87050"/>
    <w:multiLevelType w:val="hybridMultilevel"/>
    <w:tmpl w:val="60BED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E649D9"/>
    <w:multiLevelType w:val="hybridMultilevel"/>
    <w:tmpl w:val="AE16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05FE3"/>
    <w:multiLevelType w:val="hybridMultilevel"/>
    <w:tmpl w:val="279CD980"/>
    <w:lvl w:ilvl="0" w:tplc="B58673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7C4F52"/>
    <w:multiLevelType w:val="hybridMultilevel"/>
    <w:tmpl w:val="F4F4D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8"/>
  </w:num>
  <w:num w:numId="5">
    <w:abstractNumId w:val="0"/>
  </w:num>
  <w:num w:numId="6">
    <w:abstractNumId w:val="7"/>
  </w:num>
  <w:num w:numId="7">
    <w:abstractNumId w:val="3"/>
  </w:num>
  <w:num w:numId="8">
    <w:abstractNumId w:val="5"/>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1E"/>
    <w:rsid w:val="0000264A"/>
    <w:rsid w:val="00003BD9"/>
    <w:rsid w:val="00005156"/>
    <w:rsid w:val="0001558B"/>
    <w:rsid w:val="00023E82"/>
    <w:rsid w:val="00032C80"/>
    <w:rsid w:val="000422EC"/>
    <w:rsid w:val="0004273F"/>
    <w:rsid w:val="0004617E"/>
    <w:rsid w:val="00050424"/>
    <w:rsid w:val="00054332"/>
    <w:rsid w:val="000551BD"/>
    <w:rsid w:val="00083854"/>
    <w:rsid w:val="00084D9F"/>
    <w:rsid w:val="00085176"/>
    <w:rsid w:val="000870FB"/>
    <w:rsid w:val="00090E98"/>
    <w:rsid w:val="000923C9"/>
    <w:rsid w:val="00093D03"/>
    <w:rsid w:val="00095E16"/>
    <w:rsid w:val="000967DC"/>
    <w:rsid w:val="00096EBC"/>
    <w:rsid w:val="000A11D2"/>
    <w:rsid w:val="000A40C1"/>
    <w:rsid w:val="000A424B"/>
    <w:rsid w:val="000A4832"/>
    <w:rsid w:val="000B1B56"/>
    <w:rsid w:val="000B2B8A"/>
    <w:rsid w:val="000B405E"/>
    <w:rsid w:val="000C0386"/>
    <w:rsid w:val="000C4417"/>
    <w:rsid w:val="000C7034"/>
    <w:rsid w:val="000D26AE"/>
    <w:rsid w:val="000D3F33"/>
    <w:rsid w:val="000D6858"/>
    <w:rsid w:val="000E5F87"/>
    <w:rsid w:val="000E7A6F"/>
    <w:rsid w:val="000F1F1A"/>
    <w:rsid w:val="000F2CB5"/>
    <w:rsid w:val="001018E5"/>
    <w:rsid w:val="001075AC"/>
    <w:rsid w:val="00107A65"/>
    <w:rsid w:val="00111F73"/>
    <w:rsid w:val="00113CDA"/>
    <w:rsid w:val="00120D13"/>
    <w:rsid w:val="00121764"/>
    <w:rsid w:val="00121F38"/>
    <w:rsid w:val="001229A1"/>
    <w:rsid w:val="00125542"/>
    <w:rsid w:val="00126480"/>
    <w:rsid w:val="0013111D"/>
    <w:rsid w:val="00131EBD"/>
    <w:rsid w:val="0013213E"/>
    <w:rsid w:val="00132AD6"/>
    <w:rsid w:val="00133F0A"/>
    <w:rsid w:val="001476CF"/>
    <w:rsid w:val="0015245B"/>
    <w:rsid w:val="0015345C"/>
    <w:rsid w:val="00155B4F"/>
    <w:rsid w:val="00157369"/>
    <w:rsid w:val="001627BF"/>
    <w:rsid w:val="00171FC9"/>
    <w:rsid w:val="00173A84"/>
    <w:rsid w:val="00173CE2"/>
    <w:rsid w:val="00174E38"/>
    <w:rsid w:val="001754A5"/>
    <w:rsid w:val="001769EB"/>
    <w:rsid w:val="00183EFF"/>
    <w:rsid w:val="001847A9"/>
    <w:rsid w:val="001916DE"/>
    <w:rsid w:val="00192816"/>
    <w:rsid w:val="00194152"/>
    <w:rsid w:val="001A25F7"/>
    <w:rsid w:val="001A28AD"/>
    <w:rsid w:val="001A6D71"/>
    <w:rsid w:val="001B299E"/>
    <w:rsid w:val="001C1AE2"/>
    <w:rsid w:val="001C1F78"/>
    <w:rsid w:val="001C3F94"/>
    <w:rsid w:val="001C50D6"/>
    <w:rsid w:val="001D28E9"/>
    <w:rsid w:val="001D4554"/>
    <w:rsid w:val="001E2B04"/>
    <w:rsid w:val="001E5B04"/>
    <w:rsid w:val="001E7161"/>
    <w:rsid w:val="001F73E5"/>
    <w:rsid w:val="002027B4"/>
    <w:rsid w:val="00203568"/>
    <w:rsid w:val="002067CA"/>
    <w:rsid w:val="00211878"/>
    <w:rsid w:val="002127AC"/>
    <w:rsid w:val="00213E8E"/>
    <w:rsid w:val="002145A7"/>
    <w:rsid w:val="00216614"/>
    <w:rsid w:val="0023342D"/>
    <w:rsid w:val="00236FFF"/>
    <w:rsid w:val="00241FE4"/>
    <w:rsid w:val="00243569"/>
    <w:rsid w:val="00244840"/>
    <w:rsid w:val="002474EA"/>
    <w:rsid w:val="00251E8A"/>
    <w:rsid w:val="00264DDA"/>
    <w:rsid w:val="002653C0"/>
    <w:rsid w:val="00270937"/>
    <w:rsid w:val="00276327"/>
    <w:rsid w:val="00276D06"/>
    <w:rsid w:val="00280347"/>
    <w:rsid w:val="00283240"/>
    <w:rsid w:val="0028500C"/>
    <w:rsid w:val="0028563D"/>
    <w:rsid w:val="00292047"/>
    <w:rsid w:val="002935C7"/>
    <w:rsid w:val="002938AE"/>
    <w:rsid w:val="002A008D"/>
    <w:rsid w:val="002A0EAE"/>
    <w:rsid w:val="002A4DF1"/>
    <w:rsid w:val="002A7CE8"/>
    <w:rsid w:val="002B17F1"/>
    <w:rsid w:val="002B26D8"/>
    <w:rsid w:val="002B2D01"/>
    <w:rsid w:val="002B7820"/>
    <w:rsid w:val="002B7D61"/>
    <w:rsid w:val="002C2A3F"/>
    <w:rsid w:val="002C379D"/>
    <w:rsid w:val="002C3B86"/>
    <w:rsid w:val="002D2A71"/>
    <w:rsid w:val="002D3B58"/>
    <w:rsid w:val="002D453C"/>
    <w:rsid w:val="002D646B"/>
    <w:rsid w:val="002D6EA4"/>
    <w:rsid w:val="002E090E"/>
    <w:rsid w:val="002E0B91"/>
    <w:rsid w:val="002E5425"/>
    <w:rsid w:val="002E552B"/>
    <w:rsid w:val="002F0340"/>
    <w:rsid w:val="002F63C4"/>
    <w:rsid w:val="002F7689"/>
    <w:rsid w:val="00302865"/>
    <w:rsid w:val="00303E46"/>
    <w:rsid w:val="003053EB"/>
    <w:rsid w:val="003121EB"/>
    <w:rsid w:val="00314C26"/>
    <w:rsid w:val="00315A68"/>
    <w:rsid w:val="0032110E"/>
    <w:rsid w:val="0032133B"/>
    <w:rsid w:val="0032295E"/>
    <w:rsid w:val="00323515"/>
    <w:rsid w:val="003256B4"/>
    <w:rsid w:val="003429C2"/>
    <w:rsid w:val="00344B24"/>
    <w:rsid w:val="003506B7"/>
    <w:rsid w:val="00350CBF"/>
    <w:rsid w:val="003526A2"/>
    <w:rsid w:val="00353F7B"/>
    <w:rsid w:val="003568F3"/>
    <w:rsid w:val="0035793C"/>
    <w:rsid w:val="00357E53"/>
    <w:rsid w:val="00362FFE"/>
    <w:rsid w:val="0036448F"/>
    <w:rsid w:val="003646B5"/>
    <w:rsid w:val="00377090"/>
    <w:rsid w:val="003800DA"/>
    <w:rsid w:val="00381015"/>
    <w:rsid w:val="00382BEC"/>
    <w:rsid w:val="00387DE8"/>
    <w:rsid w:val="003A391E"/>
    <w:rsid w:val="003A772E"/>
    <w:rsid w:val="003B2534"/>
    <w:rsid w:val="003B57CE"/>
    <w:rsid w:val="003C69EF"/>
    <w:rsid w:val="003C7F34"/>
    <w:rsid w:val="003D632C"/>
    <w:rsid w:val="003D64C4"/>
    <w:rsid w:val="003E06BA"/>
    <w:rsid w:val="003E5BFA"/>
    <w:rsid w:val="003F0ECF"/>
    <w:rsid w:val="003F1F54"/>
    <w:rsid w:val="003F4545"/>
    <w:rsid w:val="003F563E"/>
    <w:rsid w:val="00402AA7"/>
    <w:rsid w:val="00403E7C"/>
    <w:rsid w:val="004115B8"/>
    <w:rsid w:val="00411CC7"/>
    <w:rsid w:val="004134F7"/>
    <w:rsid w:val="00415A8B"/>
    <w:rsid w:val="00417044"/>
    <w:rsid w:val="00417F13"/>
    <w:rsid w:val="004265EF"/>
    <w:rsid w:val="00427574"/>
    <w:rsid w:val="004309B0"/>
    <w:rsid w:val="00431038"/>
    <w:rsid w:val="004310F7"/>
    <w:rsid w:val="00434AEE"/>
    <w:rsid w:val="004404DD"/>
    <w:rsid w:val="0044488A"/>
    <w:rsid w:val="00445B9A"/>
    <w:rsid w:val="00450981"/>
    <w:rsid w:val="00451302"/>
    <w:rsid w:val="004526F8"/>
    <w:rsid w:val="004537B6"/>
    <w:rsid w:val="004547FC"/>
    <w:rsid w:val="004551C0"/>
    <w:rsid w:val="004575E0"/>
    <w:rsid w:val="00460349"/>
    <w:rsid w:val="004611D4"/>
    <w:rsid w:val="00466C5A"/>
    <w:rsid w:val="00475FFF"/>
    <w:rsid w:val="00480F8C"/>
    <w:rsid w:val="00483381"/>
    <w:rsid w:val="00484DC1"/>
    <w:rsid w:val="00491B67"/>
    <w:rsid w:val="00493814"/>
    <w:rsid w:val="00494007"/>
    <w:rsid w:val="004A23FD"/>
    <w:rsid w:val="004A519C"/>
    <w:rsid w:val="004B2D88"/>
    <w:rsid w:val="004C5E8F"/>
    <w:rsid w:val="004C7440"/>
    <w:rsid w:val="004D018E"/>
    <w:rsid w:val="004D20EF"/>
    <w:rsid w:val="004D35B5"/>
    <w:rsid w:val="004D3664"/>
    <w:rsid w:val="004D4839"/>
    <w:rsid w:val="004D4890"/>
    <w:rsid w:val="004D6891"/>
    <w:rsid w:val="004E0797"/>
    <w:rsid w:val="004E0E65"/>
    <w:rsid w:val="004E3BC5"/>
    <w:rsid w:val="004E3D56"/>
    <w:rsid w:val="004F048E"/>
    <w:rsid w:val="004F14FC"/>
    <w:rsid w:val="004F2D9C"/>
    <w:rsid w:val="004F3432"/>
    <w:rsid w:val="004F523D"/>
    <w:rsid w:val="004F7015"/>
    <w:rsid w:val="005004DA"/>
    <w:rsid w:val="0050260B"/>
    <w:rsid w:val="005113CF"/>
    <w:rsid w:val="00520E34"/>
    <w:rsid w:val="00527AA3"/>
    <w:rsid w:val="00536585"/>
    <w:rsid w:val="005372E7"/>
    <w:rsid w:val="00540867"/>
    <w:rsid w:val="00546E2B"/>
    <w:rsid w:val="00547EF3"/>
    <w:rsid w:val="00550B40"/>
    <w:rsid w:val="005526DC"/>
    <w:rsid w:val="005564DC"/>
    <w:rsid w:val="00563C57"/>
    <w:rsid w:val="00565D35"/>
    <w:rsid w:val="005662A3"/>
    <w:rsid w:val="00573699"/>
    <w:rsid w:val="00574565"/>
    <w:rsid w:val="00574C57"/>
    <w:rsid w:val="00580133"/>
    <w:rsid w:val="005819B3"/>
    <w:rsid w:val="005828D2"/>
    <w:rsid w:val="005835D3"/>
    <w:rsid w:val="005877F4"/>
    <w:rsid w:val="00591152"/>
    <w:rsid w:val="00592107"/>
    <w:rsid w:val="005926BD"/>
    <w:rsid w:val="005A283B"/>
    <w:rsid w:val="005A3276"/>
    <w:rsid w:val="005A3C20"/>
    <w:rsid w:val="005A3CD5"/>
    <w:rsid w:val="005A66CC"/>
    <w:rsid w:val="005A6850"/>
    <w:rsid w:val="005C1212"/>
    <w:rsid w:val="005C568A"/>
    <w:rsid w:val="005D1E12"/>
    <w:rsid w:val="005D3D51"/>
    <w:rsid w:val="005D4298"/>
    <w:rsid w:val="005D44B6"/>
    <w:rsid w:val="005D47BE"/>
    <w:rsid w:val="005D6380"/>
    <w:rsid w:val="005F287E"/>
    <w:rsid w:val="005F4B62"/>
    <w:rsid w:val="0060163C"/>
    <w:rsid w:val="00601B41"/>
    <w:rsid w:val="00601E83"/>
    <w:rsid w:val="0060284E"/>
    <w:rsid w:val="006030F4"/>
    <w:rsid w:val="0060632D"/>
    <w:rsid w:val="00611D11"/>
    <w:rsid w:val="00612EEA"/>
    <w:rsid w:val="00614D26"/>
    <w:rsid w:val="00616DF8"/>
    <w:rsid w:val="006234B7"/>
    <w:rsid w:val="00625C72"/>
    <w:rsid w:val="00626000"/>
    <w:rsid w:val="00626F6C"/>
    <w:rsid w:val="0062788F"/>
    <w:rsid w:val="00631FED"/>
    <w:rsid w:val="00633BFB"/>
    <w:rsid w:val="006368D4"/>
    <w:rsid w:val="00642E3F"/>
    <w:rsid w:val="00644F63"/>
    <w:rsid w:val="00647AB2"/>
    <w:rsid w:val="00654EA5"/>
    <w:rsid w:val="00664910"/>
    <w:rsid w:val="00664B23"/>
    <w:rsid w:val="00664E38"/>
    <w:rsid w:val="00665193"/>
    <w:rsid w:val="006721BC"/>
    <w:rsid w:val="006726CB"/>
    <w:rsid w:val="00672B6E"/>
    <w:rsid w:val="00673D4C"/>
    <w:rsid w:val="00677B18"/>
    <w:rsid w:val="0068545D"/>
    <w:rsid w:val="0068566F"/>
    <w:rsid w:val="0068583C"/>
    <w:rsid w:val="00696314"/>
    <w:rsid w:val="006A2150"/>
    <w:rsid w:val="006A5DB8"/>
    <w:rsid w:val="006A6E56"/>
    <w:rsid w:val="006B016E"/>
    <w:rsid w:val="006B0EB2"/>
    <w:rsid w:val="006B1E9B"/>
    <w:rsid w:val="006B33B6"/>
    <w:rsid w:val="006B44AB"/>
    <w:rsid w:val="006B7DE4"/>
    <w:rsid w:val="006C34E4"/>
    <w:rsid w:val="006C7833"/>
    <w:rsid w:val="006D17D2"/>
    <w:rsid w:val="006D414E"/>
    <w:rsid w:val="006E0256"/>
    <w:rsid w:val="006E2232"/>
    <w:rsid w:val="006E26F1"/>
    <w:rsid w:val="006E2A8D"/>
    <w:rsid w:val="006E40A9"/>
    <w:rsid w:val="006E423D"/>
    <w:rsid w:val="006E5AD7"/>
    <w:rsid w:val="006E5B24"/>
    <w:rsid w:val="006E73FC"/>
    <w:rsid w:val="006F05DF"/>
    <w:rsid w:val="006F21CA"/>
    <w:rsid w:val="006F3649"/>
    <w:rsid w:val="006F6188"/>
    <w:rsid w:val="00702B0F"/>
    <w:rsid w:val="007065A6"/>
    <w:rsid w:val="0070680C"/>
    <w:rsid w:val="00707580"/>
    <w:rsid w:val="007079BC"/>
    <w:rsid w:val="007173B9"/>
    <w:rsid w:val="00717634"/>
    <w:rsid w:val="00722016"/>
    <w:rsid w:val="007224D8"/>
    <w:rsid w:val="00722E8E"/>
    <w:rsid w:val="007264BD"/>
    <w:rsid w:val="0073240B"/>
    <w:rsid w:val="00732603"/>
    <w:rsid w:val="007426E5"/>
    <w:rsid w:val="00742B35"/>
    <w:rsid w:val="007511A6"/>
    <w:rsid w:val="0075230D"/>
    <w:rsid w:val="00754797"/>
    <w:rsid w:val="00760BF1"/>
    <w:rsid w:val="0076411A"/>
    <w:rsid w:val="00764883"/>
    <w:rsid w:val="00770FF2"/>
    <w:rsid w:val="00772AE6"/>
    <w:rsid w:val="0077792B"/>
    <w:rsid w:val="007A2BED"/>
    <w:rsid w:val="007A5B68"/>
    <w:rsid w:val="007A6DEA"/>
    <w:rsid w:val="007A79C9"/>
    <w:rsid w:val="007B0DF0"/>
    <w:rsid w:val="007B24E3"/>
    <w:rsid w:val="007B2AFB"/>
    <w:rsid w:val="007C0EF0"/>
    <w:rsid w:val="007C1841"/>
    <w:rsid w:val="007C3264"/>
    <w:rsid w:val="007C4100"/>
    <w:rsid w:val="007C4269"/>
    <w:rsid w:val="007D14E7"/>
    <w:rsid w:val="007D64AF"/>
    <w:rsid w:val="007F4301"/>
    <w:rsid w:val="007F49AF"/>
    <w:rsid w:val="007F6C67"/>
    <w:rsid w:val="0080054B"/>
    <w:rsid w:val="00800BB9"/>
    <w:rsid w:val="0080278C"/>
    <w:rsid w:val="00802A84"/>
    <w:rsid w:val="008044BE"/>
    <w:rsid w:val="0080491C"/>
    <w:rsid w:val="00806614"/>
    <w:rsid w:val="00807FBD"/>
    <w:rsid w:val="0081377D"/>
    <w:rsid w:val="00815739"/>
    <w:rsid w:val="00815BF2"/>
    <w:rsid w:val="00822215"/>
    <w:rsid w:val="008229BE"/>
    <w:rsid w:val="008302FF"/>
    <w:rsid w:val="0083172C"/>
    <w:rsid w:val="00832340"/>
    <w:rsid w:val="00840251"/>
    <w:rsid w:val="00841E9B"/>
    <w:rsid w:val="00843BBE"/>
    <w:rsid w:val="008463CE"/>
    <w:rsid w:val="008474FA"/>
    <w:rsid w:val="00853A7C"/>
    <w:rsid w:val="00856D88"/>
    <w:rsid w:val="00862582"/>
    <w:rsid w:val="0087481B"/>
    <w:rsid w:val="00886720"/>
    <w:rsid w:val="00887B9B"/>
    <w:rsid w:val="008A18A0"/>
    <w:rsid w:val="008A4F03"/>
    <w:rsid w:val="008B1421"/>
    <w:rsid w:val="008B4BE0"/>
    <w:rsid w:val="008B7A04"/>
    <w:rsid w:val="008C007C"/>
    <w:rsid w:val="008C1898"/>
    <w:rsid w:val="008C1EBF"/>
    <w:rsid w:val="008C1F65"/>
    <w:rsid w:val="008C27EC"/>
    <w:rsid w:val="008C672C"/>
    <w:rsid w:val="008D44F5"/>
    <w:rsid w:val="008D493A"/>
    <w:rsid w:val="008D57F4"/>
    <w:rsid w:val="008D7258"/>
    <w:rsid w:val="008E2FDF"/>
    <w:rsid w:val="008F50FE"/>
    <w:rsid w:val="008F654E"/>
    <w:rsid w:val="0090060A"/>
    <w:rsid w:val="00904A57"/>
    <w:rsid w:val="00904E31"/>
    <w:rsid w:val="0091104B"/>
    <w:rsid w:val="00913DDF"/>
    <w:rsid w:val="00916518"/>
    <w:rsid w:val="00920B91"/>
    <w:rsid w:val="009248E7"/>
    <w:rsid w:val="00931EC0"/>
    <w:rsid w:val="009338B0"/>
    <w:rsid w:val="00935B05"/>
    <w:rsid w:val="00940CEB"/>
    <w:rsid w:val="00941EF9"/>
    <w:rsid w:val="00942BFA"/>
    <w:rsid w:val="00943D32"/>
    <w:rsid w:val="00945287"/>
    <w:rsid w:val="00955C34"/>
    <w:rsid w:val="009579C7"/>
    <w:rsid w:val="0096308B"/>
    <w:rsid w:val="00965BCB"/>
    <w:rsid w:val="0096697D"/>
    <w:rsid w:val="00966AE3"/>
    <w:rsid w:val="0097027F"/>
    <w:rsid w:val="00973ED0"/>
    <w:rsid w:val="00975658"/>
    <w:rsid w:val="0097632A"/>
    <w:rsid w:val="00982153"/>
    <w:rsid w:val="0098244D"/>
    <w:rsid w:val="00983FB3"/>
    <w:rsid w:val="0099378A"/>
    <w:rsid w:val="009A033E"/>
    <w:rsid w:val="009A4295"/>
    <w:rsid w:val="009A4603"/>
    <w:rsid w:val="009B3FAF"/>
    <w:rsid w:val="009B460B"/>
    <w:rsid w:val="009B75A9"/>
    <w:rsid w:val="009C25D4"/>
    <w:rsid w:val="009C2979"/>
    <w:rsid w:val="009C4944"/>
    <w:rsid w:val="009C7A9C"/>
    <w:rsid w:val="009D40C2"/>
    <w:rsid w:val="009D532B"/>
    <w:rsid w:val="009D7463"/>
    <w:rsid w:val="009D7D5E"/>
    <w:rsid w:val="009E05BC"/>
    <w:rsid w:val="009E1EBE"/>
    <w:rsid w:val="009E4641"/>
    <w:rsid w:val="009F11E5"/>
    <w:rsid w:val="009F139C"/>
    <w:rsid w:val="009F4160"/>
    <w:rsid w:val="00A01D02"/>
    <w:rsid w:val="00A135CD"/>
    <w:rsid w:val="00A21341"/>
    <w:rsid w:val="00A23FEB"/>
    <w:rsid w:val="00A27213"/>
    <w:rsid w:val="00A31133"/>
    <w:rsid w:val="00A3196D"/>
    <w:rsid w:val="00A32969"/>
    <w:rsid w:val="00A342B6"/>
    <w:rsid w:val="00A3585E"/>
    <w:rsid w:val="00A35BFD"/>
    <w:rsid w:val="00A371AE"/>
    <w:rsid w:val="00A41B9E"/>
    <w:rsid w:val="00A43768"/>
    <w:rsid w:val="00A445C0"/>
    <w:rsid w:val="00A47FDD"/>
    <w:rsid w:val="00A5236A"/>
    <w:rsid w:val="00A54FF1"/>
    <w:rsid w:val="00A56298"/>
    <w:rsid w:val="00A70820"/>
    <w:rsid w:val="00A70E60"/>
    <w:rsid w:val="00A70EF2"/>
    <w:rsid w:val="00A7346E"/>
    <w:rsid w:val="00A749C3"/>
    <w:rsid w:val="00A83FDE"/>
    <w:rsid w:val="00A862D9"/>
    <w:rsid w:val="00A915FE"/>
    <w:rsid w:val="00A96CF4"/>
    <w:rsid w:val="00A97DB4"/>
    <w:rsid w:val="00AA0AB0"/>
    <w:rsid w:val="00AA5B4F"/>
    <w:rsid w:val="00AB0F5C"/>
    <w:rsid w:val="00AB16EC"/>
    <w:rsid w:val="00AB2778"/>
    <w:rsid w:val="00AC436A"/>
    <w:rsid w:val="00AC68FE"/>
    <w:rsid w:val="00AD18FA"/>
    <w:rsid w:val="00AD1DD1"/>
    <w:rsid w:val="00AD22C9"/>
    <w:rsid w:val="00AE0849"/>
    <w:rsid w:val="00AE7B24"/>
    <w:rsid w:val="00AF3217"/>
    <w:rsid w:val="00B0088B"/>
    <w:rsid w:val="00B00CDA"/>
    <w:rsid w:val="00B04435"/>
    <w:rsid w:val="00B045F6"/>
    <w:rsid w:val="00B047DC"/>
    <w:rsid w:val="00B04950"/>
    <w:rsid w:val="00B07372"/>
    <w:rsid w:val="00B12196"/>
    <w:rsid w:val="00B12B20"/>
    <w:rsid w:val="00B12FF4"/>
    <w:rsid w:val="00B136C5"/>
    <w:rsid w:val="00B143A7"/>
    <w:rsid w:val="00B1623A"/>
    <w:rsid w:val="00B17740"/>
    <w:rsid w:val="00B235D5"/>
    <w:rsid w:val="00B23DCF"/>
    <w:rsid w:val="00B27D75"/>
    <w:rsid w:val="00B325DC"/>
    <w:rsid w:val="00B330FC"/>
    <w:rsid w:val="00B346E9"/>
    <w:rsid w:val="00B36DF4"/>
    <w:rsid w:val="00B412BE"/>
    <w:rsid w:val="00B41BA9"/>
    <w:rsid w:val="00B41D2C"/>
    <w:rsid w:val="00B44E00"/>
    <w:rsid w:val="00B45D89"/>
    <w:rsid w:val="00B465EF"/>
    <w:rsid w:val="00B47B0F"/>
    <w:rsid w:val="00B53E1D"/>
    <w:rsid w:val="00B55F5C"/>
    <w:rsid w:val="00B61A6E"/>
    <w:rsid w:val="00B676CA"/>
    <w:rsid w:val="00B7189E"/>
    <w:rsid w:val="00B7191A"/>
    <w:rsid w:val="00B74E2A"/>
    <w:rsid w:val="00B761DF"/>
    <w:rsid w:val="00B77DE1"/>
    <w:rsid w:val="00B80D7D"/>
    <w:rsid w:val="00B87897"/>
    <w:rsid w:val="00B923CC"/>
    <w:rsid w:val="00B954F9"/>
    <w:rsid w:val="00B965D9"/>
    <w:rsid w:val="00B96C4E"/>
    <w:rsid w:val="00BA3AE2"/>
    <w:rsid w:val="00BA7B43"/>
    <w:rsid w:val="00BA7D6D"/>
    <w:rsid w:val="00BB049A"/>
    <w:rsid w:val="00BB205F"/>
    <w:rsid w:val="00BB3431"/>
    <w:rsid w:val="00BC4228"/>
    <w:rsid w:val="00BC6EF1"/>
    <w:rsid w:val="00BC76F8"/>
    <w:rsid w:val="00BD0F37"/>
    <w:rsid w:val="00BD106F"/>
    <w:rsid w:val="00BD32D9"/>
    <w:rsid w:val="00BE6D08"/>
    <w:rsid w:val="00BF3C7C"/>
    <w:rsid w:val="00BF72A4"/>
    <w:rsid w:val="00BF75A5"/>
    <w:rsid w:val="00C01C07"/>
    <w:rsid w:val="00C01E58"/>
    <w:rsid w:val="00C0462E"/>
    <w:rsid w:val="00C04CC5"/>
    <w:rsid w:val="00C06587"/>
    <w:rsid w:val="00C07CBE"/>
    <w:rsid w:val="00C140BD"/>
    <w:rsid w:val="00C15118"/>
    <w:rsid w:val="00C16D41"/>
    <w:rsid w:val="00C17DC7"/>
    <w:rsid w:val="00C217DA"/>
    <w:rsid w:val="00C23ED3"/>
    <w:rsid w:val="00C26598"/>
    <w:rsid w:val="00C46D1E"/>
    <w:rsid w:val="00C50DB6"/>
    <w:rsid w:val="00C63D3C"/>
    <w:rsid w:val="00C6469E"/>
    <w:rsid w:val="00C65556"/>
    <w:rsid w:val="00C71865"/>
    <w:rsid w:val="00C821DB"/>
    <w:rsid w:val="00C8573B"/>
    <w:rsid w:val="00C86AA6"/>
    <w:rsid w:val="00C90725"/>
    <w:rsid w:val="00C91E18"/>
    <w:rsid w:val="00C9217F"/>
    <w:rsid w:val="00C92BD9"/>
    <w:rsid w:val="00C9480D"/>
    <w:rsid w:val="00C95618"/>
    <w:rsid w:val="00C9699B"/>
    <w:rsid w:val="00C969E2"/>
    <w:rsid w:val="00C9740B"/>
    <w:rsid w:val="00C9772E"/>
    <w:rsid w:val="00CA1990"/>
    <w:rsid w:val="00CA3768"/>
    <w:rsid w:val="00CA6FC6"/>
    <w:rsid w:val="00CB11D8"/>
    <w:rsid w:val="00CB3460"/>
    <w:rsid w:val="00CB380E"/>
    <w:rsid w:val="00CC66C7"/>
    <w:rsid w:val="00CC7BCB"/>
    <w:rsid w:val="00CD24AB"/>
    <w:rsid w:val="00CD3F19"/>
    <w:rsid w:val="00CD7978"/>
    <w:rsid w:val="00CE1311"/>
    <w:rsid w:val="00CE197E"/>
    <w:rsid w:val="00CE2120"/>
    <w:rsid w:val="00CE2467"/>
    <w:rsid w:val="00CE2DCC"/>
    <w:rsid w:val="00CE39F6"/>
    <w:rsid w:val="00CE79C5"/>
    <w:rsid w:val="00CF0915"/>
    <w:rsid w:val="00CF2052"/>
    <w:rsid w:val="00CF31CF"/>
    <w:rsid w:val="00CF4ABD"/>
    <w:rsid w:val="00CF65E8"/>
    <w:rsid w:val="00D009BC"/>
    <w:rsid w:val="00D02CC4"/>
    <w:rsid w:val="00D0593B"/>
    <w:rsid w:val="00D075E0"/>
    <w:rsid w:val="00D07874"/>
    <w:rsid w:val="00D1238F"/>
    <w:rsid w:val="00D126B1"/>
    <w:rsid w:val="00D157AE"/>
    <w:rsid w:val="00D25333"/>
    <w:rsid w:val="00D33246"/>
    <w:rsid w:val="00D35078"/>
    <w:rsid w:val="00D35C2F"/>
    <w:rsid w:val="00D374CD"/>
    <w:rsid w:val="00D407ED"/>
    <w:rsid w:val="00D426CE"/>
    <w:rsid w:val="00D43E36"/>
    <w:rsid w:val="00D465DC"/>
    <w:rsid w:val="00D536F5"/>
    <w:rsid w:val="00D54319"/>
    <w:rsid w:val="00D54804"/>
    <w:rsid w:val="00D6327A"/>
    <w:rsid w:val="00D65147"/>
    <w:rsid w:val="00D6625B"/>
    <w:rsid w:val="00D67213"/>
    <w:rsid w:val="00D6750F"/>
    <w:rsid w:val="00D706BD"/>
    <w:rsid w:val="00D747F4"/>
    <w:rsid w:val="00D80F7A"/>
    <w:rsid w:val="00D81105"/>
    <w:rsid w:val="00D864FA"/>
    <w:rsid w:val="00D87D83"/>
    <w:rsid w:val="00D916D3"/>
    <w:rsid w:val="00D963C5"/>
    <w:rsid w:val="00D97BB8"/>
    <w:rsid w:val="00DB12E9"/>
    <w:rsid w:val="00DB2638"/>
    <w:rsid w:val="00DB2FF7"/>
    <w:rsid w:val="00DB3579"/>
    <w:rsid w:val="00DB3C75"/>
    <w:rsid w:val="00DB5697"/>
    <w:rsid w:val="00DB6CE7"/>
    <w:rsid w:val="00DB784E"/>
    <w:rsid w:val="00DB7A8C"/>
    <w:rsid w:val="00DB7C0A"/>
    <w:rsid w:val="00DC19E9"/>
    <w:rsid w:val="00DC436E"/>
    <w:rsid w:val="00DC4FEF"/>
    <w:rsid w:val="00DC5A8B"/>
    <w:rsid w:val="00DD099B"/>
    <w:rsid w:val="00DD32CB"/>
    <w:rsid w:val="00DD3339"/>
    <w:rsid w:val="00DD55E9"/>
    <w:rsid w:val="00DE3F99"/>
    <w:rsid w:val="00DF2F3F"/>
    <w:rsid w:val="00DF3A88"/>
    <w:rsid w:val="00DF5E7D"/>
    <w:rsid w:val="00DF66B4"/>
    <w:rsid w:val="00DF764E"/>
    <w:rsid w:val="00DF7DB7"/>
    <w:rsid w:val="00E00677"/>
    <w:rsid w:val="00E00829"/>
    <w:rsid w:val="00E01A3E"/>
    <w:rsid w:val="00E04EBC"/>
    <w:rsid w:val="00E05216"/>
    <w:rsid w:val="00E055E8"/>
    <w:rsid w:val="00E07FD8"/>
    <w:rsid w:val="00E10DD4"/>
    <w:rsid w:val="00E1183A"/>
    <w:rsid w:val="00E20CF3"/>
    <w:rsid w:val="00E20EDB"/>
    <w:rsid w:val="00E2329E"/>
    <w:rsid w:val="00E23429"/>
    <w:rsid w:val="00E234EA"/>
    <w:rsid w:val="00E2571B"/>
    <w:rsid w:val="00E27423"/>
    <w:rsid w:val="00E30031"/>
    <w:rsid w:val="00E31605"/>
    <w:rsid w:val="00E31780"/>
    <w:rsid w:val="00E31876"/>
    <w:rsid w:val="00E34AB0"/>
    <w:rsid w:val="00E35A01"/>
    <w:rsid w:val="00E366DF"/>
    <w:rsid w:val="00E45CC8"/>
    <w:rsid w:val="00E47C9A"/>
    <w:rsid w:val="00E500AB"/>
    <w:rsid w:val="00E507A1"/>
    <w:rsid w:val="00E51C8C"/>
    <w:rsid w:val="00E54DEB"/>
    <w:rsid w:val="00E5524F"/>
    <w:rsid w:val="00E67F53"/>
    <w:rsid w:val="00E707F7"/>
    <w:rsid w:val="00E70C67"/>
    <w:rsid w:val="00E71B2C"/>
    <w:rsid w:val="00E73C49"/>
    <w:rsid w:val="00E806E7"/>
    <w:rsid w:val="00E81E8F"/>
    <w:rsid w:val="00E829A8"/>
    <w:rsid w:val="00E82C00"/>
    <w:rsid w:val="00E8578A"/>
    <w:rsid w:val="00E86E4F"/>
    <w:rsid w:val="00E908DC"/>
    <w:rsid w:val="00E90C44"/>
    <w:rsid w:val="00E96483"/>
    <w:rsid w:val="00E97784"/>
    <w:rsid w:val="00EB698E"/>
    <w:rsid w:val="00EC224B"/>
    <w:rsid w:val="00EC2609"/>
    <w:rsid w:val="00EC6D5C"/>
    <w:rsid w:val="00ED2438"/>
    <w:rsid w:val="00ED2BA5"/>
    <w:rsid w:val="00ED3BCA"/>
    <w:rsid w:val="00EE21E2"/>
    <w:rsid w:val="00EF61BA"/>
    <w:rsid w:val="00F01A50"/>
    <w:rsid w:val="00F01AB7"/>
    <w:rsid w:val="00F02828"/>
    <w:rsid w:val="00F03AC0"/>
    <w:rsid w:val="00F07E16"/>
    <w:rsid w:val="00F108E5"/>
    <w:rsid w:val="00F16088"/>
    <w:rsid w:val="00F200D7"/>
    <w:rsid w:val="00F2613D"/>
    <w:rsid w:val="00F27C47"/>
    <w:rsid w:val="00F32BC5"/>
    <w:rsid w:val="00F405D2"/>
    <w:rsid w:val="00F4299B"/>
    <w:rsid w:val="00F44DDB"/>
    <w:rsid w:val="00F46A78"/>
    <w:rsid w:val="00F501C3"/>
    <w:rsid w:val="00F564C2"/>
    <w:rsid w:val="00F5794B"/>
    <w:rsid w:val="00F63112"/>
    <w:rsid w:val="00F6509B"/>
    <w:rsid w:val="00F6699E"/>
    <w:rsid w:val="00F70059"/>
    <w:rsid w:val="00F71288"/>
    <w:rsid w:val="00F71602"/>
    <w:rsid w:val="00F72BBB"/>
    <w:rsid w:val="00F778D0"/>
    <w:rsid w:val="00F81CF2"/>
    <w:rsid w:val="00F8202C"/>
    <w:rsid w:val="00F84CD3"/>
    <w:rsid w:val="00F91217"/>
    <w:rsid w:val="00F92437"/>
    <w:rsid w:val="00F94C6A"/>
    <w:rsid w:val="00F958A1"/>
    <w:rsid w:val="00FA3004"/>
    <w:rsid w:val="00FA3E53"/>
    <w:rsid w:val="00FA3F6E"/>
    <w:rsid w:val="00FA7F36"/>
    <w:rsid w:val="00FB26EE"/>
    <w:rsid w:val="00FC14C0"/>
    <w:rsid w:val="00FC67A7"/>
    <w:rsid w:val="00FD1919"/>
    <w:rsid w:val="00FD6C37"/>
    <w:rsid w:val="00FD6E5D"/>
    <w:rsid w:val="00FE0CFD"/>
    <w:rsid w:val="00FF36DA"/>
    <w:rsid w:val="00FF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DC7"/>
    <w:pPr>
      <w:tabs>
        <w:tab w:val="center" w:pos="4680"/>
        <w:tab w:val="right" w:pos="9360"/>
      </w:tabs>
    </w:pPr>
  </w:style>
  <w:style w:type="character" w:customStyle="1" w:styleId="HeaderChar">
    <w:name w:val="Header Char"/>
    <w:link w:val="Header"/>
    <w:uiPriority w:val="99"/>
    <w:rsid w:val="00C17DC7"/>
    <w:rPr>
      <w:sz w:val="22"/>
      <w:szCs w:val="22"/>
    </w:rPr>
  </w:style>
  <w:style w:type="paragraph" w:styleId="Footer">
    <w:name w:val="footer"/>
    <w:basedOn w:val="Normal"/>
    <w:link w:val="FooterChar"/>
    <w:uiPriority w:val="99"/>
    <w:unhideWhenUsed/>
    <w:rsid w:val="00C17DC7"/>
    <w:pPr>
      <w:tabs>
        <w:tab w:val="center" w:pos="4680"/>
        <w:tab w:val="right" w:pos="9360"/>
      </w:tabs>
    </w:pPr>
  </w:style>
  <w:style w:type="character" w:customStyle="1" w:styleId="FooterChar">
    <w:name w:val="Footer Char"/>
    <w:link w:val="Footer"/>
    <w:uiPriority w:val="99"/>
    <w:rsid w:val="00C17DC7"/>
    <w:rPr>
      <w:sz w:val="22"/>
      <w:szCs w:val="22"/>
    </w:rPr>
  </w:style>
  <w:style w:type="character" w:styleId="CommentReference">
    <w:name w:val="annotation reference"/>
    <w:uiPriority w:val="99"/>
    <w:semiHidden/>
    <w:unhideWhenUsed/>
    <w:rsid w:val="00F84CD3"/>
    <w:rPr>
      <w:sz w:val="16"/>
      <w:szCs w:val="16"/>
    </w:rPr>
  </w:style>
  <w:style w:type="paragraph" w:styleId="CommentText">
    <w:name w:val="annotation text"/>
    <w:basedOn w:val="Normal"/>
    <w:link w:val="CommentTextChar"/>
    <w:uiPriority w:val="99"/>
    <w:unhideWhenUsed/>
    <w:rsid w:val="00F84CD3"/>
    <w:rPr>
      <w:sz w:val="20"/>
      <w:szCs w:val="20"/>
    </w:rPr>
  </w:style>
  <w:style w:type="character" w:customStyle="1" w:styleId="CommentTextChar">
    <w:name w:val="Comment Text Char"/>
    <w:basedOn w:val="DefaultParagraphFont"/>
    <w:link w:val="CommentText"/>
    <w:uiPriority w:val="99"/>
    <w:rsid w:val="00F84CD3"/>
  </w:style>
  <w:style w:type="paragraph" w:styleId="CommentSubject">
    <w:name w:val="annotation subject"/>
    <w:basedOn w:val="CommentText"/>
    <w:next w:val="CommentText"/>
    <w:link w:val="CommentSubjectChar"/>
    <w:uiPriority w:val="99"/>
    <w:semiHidden/>
    <w:unhideWhenUsed/>
    <w:rsid w:val="00F84CD3"/>
    <w:rPr>
      <w:b/>
      <w:bCs/>
    </w:rPr>
  </w:style>
  <w:style w:type="character" w:customStyle="1" w:styleId="CommentSubjectChar">
    <w:name w:val="Comment Subject Char"/>
    <w:link w:val="CommentSubject"/>
    <w:uiPriority w:val="99"/>
    <w:semiHidden/>
    <w:rsid w:val="00F84CD3"/>
    <w:rPr>
      <w:b/>
      <w:bCs/>
    </w:rPr>
  </w:style>
  <w:style w:type="paragraph" w:styleId="BalloonText">
    <w:name w:val="Balloon Text"/>
    <w:basedOn w:val="Normal"/>
    <w:link w:val="BalloonTextChar"/>
    <w:uiPriority w:val="99"/>
    <w:semiHidden/>
    <w:unhideWhenUsed/>
    <w:rsid w:val="00F84C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4CD3"/>
    <w:rPr>
      <w:rFonts w:ascii="Tahoma" w:hAnsi="Tahoma" w:cs="Tahoma"/>
      <w:sz w:val="16"/>
      <w:szCs w:val="16"/>
    </w:rPr>
  </w:style>
  <w:style w:type="paragraph" w:styleId="FootnoteText">
    <w:name w:val="footnote text"/>
    <w:basedOn w:val="Normal"/>
    <w:link w:val="FootnoteTextChar"/>
    <w:uiPriority w:val="99"/>
    <w:unhideWhenUsed/>
    <w:rsid w:val="00E82C00"/>
    <w:rPr>
      <w:sz w:val="20"/>
      <w:szCs w:val="20"/>
    </w:rPr>
  </w:style>
  <w:style w:type="character" w:customStyle="1" w:styleId="FootnoteTextChar">
    <w:name w:val="Footnote Text Char"/>
    <w:basedOn w:val="DefaultParagraphFont"/>
    <w:link w:val="FootnoteText"/>
    <w:uiPriority w:val="99"/>
    <w:rsid w:val="00E82C00"/>
  </w:style>
  <w:style w:type="character" w:styleId="FootnoteReference">
    <w:name w:val="footnote reference"/>
    <w:uiPriority w:val="99"/>
    <w:semiHidden/>
    <w:unhideWhenUsed/>
    <w:rsid w:val="00E82C00"/>
    <w:rPr>
      <w:vertAlign w:val="superscript"/>
    </w:rPr>
  </w:style>
  <w:style w:type="paragraph" w:styleId="ListParagraph">
    <w:name w:val="List Paragraph"/>
    <w:basedOn w:val="Normal"/>
    <w:uiPriority w:val="34"/>
    <w:qFormat/>
    <w:rsid w:val="00626F6C"/>
    <w:pPr>
      <w:ind w:left="720"/>
    </w:pPr>
  </w:style>
  <w:style w:type="character" w:styleId="Hyperlink">
    <w:name w:val="Hyperlink"/>
    <w:uiPriority w:val="99"/>
    <w:semiHidden/>
    <w:unhideWhenUsed/>
    <w:rsid w:val="0035793C"/>
    <w:rPr>
      <w:color w:val="0000FF"/>
      <w:u w:val="single"/>
    </w:rPr>
  </w:style>
  <w:style w:type="paragraph" w:styleId="EndnoteText">
    <w:name w:val="endnote text"/>
    <w:basedOn w:val="Normal"/>
    <w:link w:val="EndnoteTextChar"/>
    <w:uiPriority w:val="99"/>
    <w:semiHidden/>
    <w:unhideWhenUsed/>
    <w:rsid w:val="0060632D"/>
    <w:rPr>
      <w:sz w:val="20"/>
      <w:szCs w:val="20"/>
    </w:rPr>
  </w:style>
  <w:style w:type="character" w:customStyle="1" w:styleId="EndnoteTextChar">
    <w:name w:val="Endnote Text Char"/>
    <w:basedOn w:val="DefaultParagraphFont"/>
    <w:link w:val="EndnoteText"/>
    <w:uiPriority w:val="99"/>
    <w:semiHidden/>
    <w:rsid w:val="0060632D"/>
  </w:style>
  <w:style w:type="character" w:styleId="EndnoteReference">
    <w:name w:val="endnote reference"/>
    <w:uiPriority w:val="99"/>
    <w:semiHidden/>
    <w:unhideWhenUsed/>
    <w:rsid w:val="0060632D"/>
    <w:rPr>
      <w:vertAlign w:val="superscript"/>
    </w:rPr>
  </w:style>
  <w:style w:type="paragraph" w:styleId="Revision">
    <w:name w:val="Revision"/>
    <w:hidden/>
    <w:uiPriority w:val="99"/>
    <w:semiHidden/>
    <w:rsid w:val="00241FE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DC7"/>
    <w:pPr>
      <w:tabs>
        <w:tab w:val="center" w:pos="4680"/>
        <w:tab w:val="right" w:pos="9360"/>
      </w:tabs>
    </w:pPr>
  </w:style>
  <w:style w:type="character" w:customStyle="1" w:styleId="HeaderChar">
    <w:name w:val="Header Char"/>
    <w:link w:val="Header"/>
    <w:uiPriority w:val="99"/>
    <w:rsid w:val="00C17DC7"/>
    <w:rPr>
      <w:sz w:val="22"/>
      <w:szCs w:val="22"/>
    </w:rPr>
  </w:style>
  <w:style w:type="paragraph" w:styleId="Footer">
    <w:name w:val="footer"/>
    <w:basedOn w:val="Normal"/>
    <w:link w:val="FooterChar"/>
    <w:uiPriority w:val="99"/>
    <w:unhideWhenUsed/>
    <w:rsid w:val="00C17DC7"/>
    <w:pPr>
      <w:tabs>
        <w:tab w:val="center" w:pos="4680"/>
        <w:tab w:val="right" w:pos="9360"/>
      </w:tabs>
    </w:pPr>
  </w:style>
  <w:style w:type="character" w:customStyle="1" w:styleId="FooterChar">
    <w:name w:val="Footer Char"/>
    <w:link w:val="Footer"/>
    <w:uiPriority w:val="99"/>
    <w:rsid w:val="00C17DC7"/>
    <w:rPr>
      <w:sz w:val="22"/>
      <w:szCs w:val="22"/>
    </w:rPr>
  </w:style>
  <w:style w:type="character" w:styleId="CommentReference">
    <w:name w:val="annotation reference"/>
    <w:uiPriority w:val="99"/>
    <w:semiHidden/>
    <w:unhideWhenUsed/>
    <w:rsid w:val="00F84CD3"/>
    <w:rPr>
      <w:sz w:val="16"/>
      <w:szCs w:val="16"/>
    </w:rPr>
  </w:style>
  <w:style w:type="paragraph" w:styleId="CommentText">
    <w:name w:val="annotation text"/>
    <w:basedOn w:val="Normal"/>
    <w:link w:val="CommentTextChar"/>
    <w:uiPriority w:val="99"/>
    <w:unhideWhenUsed/>
    <w:rsid w:val="00F84CD3"/>
    <w:rPr>
      <w:sz w:val="20"/>
      <w:szCs w:val="20"/>
    </w:rPr>
  </w:style>
  <w:style w:type="character" w:customStyle="1" w:styleId="CommentTextChar">
    <w:name w:val="Comment Text Char"/>
    <w:basedOn w:val="DefaultParagraphFont"/>
    <w:link w:val="CommentText"/>
    <w:uiPriority w:val="99"/>
    <w:rsid w:val="00F84CD3"/>
  </w:style>
  <w:style w:type="paragraph" w:styleId="CommentSubject">
    <w:name w:val="annotation subject"/>
    <w:basedOn w:val="CommentText"/>
    <w:next w:val="CommentText"/>
    <w:link w:val="CommentSubjectChar"/>
    <w:uiPriority w:val="99"/>
    <w:semiHidden/>
    <w:unhideWhenUsed/>
    <w:rsid w:val="00F84CD3"/>
    <w:rPr>
      <w:b/>
      <w:bCs/>
    </w:rPr>
  </w:style>
  <w:style w:type="character" w:customStyle="1" w:styleId="CommentSubjectChar">
    <w:name w:val="Comment Subject Char"/>
    <w:link w:val="CommentSubject"/>
    <w:uiPriority w:val="99"/>
    <w:semiHidden/>
    <w:rsid w:val="00F84CD3"/>
    <w:rPr>
      <w:b/>
      <w:bCs/>
    </w:rPr>
  </w:style>
  <w:style w:type="paragraph" w:styleId="BalloonText">
    <w:name w:val="Balloon Text"/>
    <w:basedOn w:val="Normal"/>
    <w:link w:val="BalloonTextChar"/>
    <w:uiPriority w:val="99"/>
    <w:semiHidden/>
    <w:unhideWhenUsed/>
    <w:rsid w:val="00F84C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4CD3"/>
    <w:rPr>
      <w:rFonts w:ascii="Tahoma" w:hAnsi="Tahoma" w:cs="Tahoma"/>
      <w:sz w:val="16"/>
      <w:szCs w:val="16"/>
    </w:rPr>
  </w:style>
  <w:style w:type="paragraph" w:styleId="FootnoteText">
    <w:name w:val="footnote text"/>
    <w:basedOn w:val="Normal"/>
    <w:link w:val="FootnoteTextChar"/>
    <w:uiPriority w:val="99"/>
    <w:unhideWhenUsed/>
    <w:rsid w:val="00E82C00"/>
    <w:rPr>
      <w:sz w:val="20"/>
      <w:szCs w:val="20"/>
    </w:rPr>
  </w:style>
  <w:style w:type="character" w:customStyle="1" w:styleId="FootnoteTextChar">
    <w:name w:val="Footnote Text Char"/>
    <w:basedOn w:val="DefaultParagraphFont"/>
    <w:link w:val="FootnoteText"/>
    <w:uiPriority w:val="99"/>
    <w:rsid w:val="00E82C00"/>
  </w:style>
  <w:style w:type="character" w:styleId="FootnoteReference">
    <w:name w:val="footnote reference"/>
    <w:uiPriority w:val="99"/>
    <w:semiHidden/>
    <w:unhideWhenUsed/>
    <w:rsid w:val="00E82C00"/>
    <w:rPr>
      <w:vertAlign w:val="superscript"/>
    </w:rPr>
  </w:style>
  <w:style w:type="paragraph" w:styleId="ListParagraph">
    <w:name w:val="List Paragraph"/>
    <w:basedOn w:val="Normal"/>
    <w:uiPriority w:val="34"/>
    <w:qFormat/>
    <w:rsid w:val="00626F6C"/>
    <w:pPr>
      <w:ind w:left="720"/>
    </w:pPr>
  </w:style>
  <w:style w:type="character" w:styleId="Hyperlink">
    <w:name w:val="Hyperlink"/>
    <w:uiPriority w:val="99"/>
    <w:semiHidden/>
    <w:unhideWhenUsed/>
    <w:rsid w:val="0035793C"/>
    <w:rPr>
      <w:color w:val="0000FF"/>
      <w:u w:val="single"/>
    </w:rPr>
  </w:style>
  <w:style w:type="paragraph" w:styleId="EndnoteText">
    <w:name w:val="endnote text"/>
    <w:basedOn w:val="Normal"/>
    <w:link w:val="EndnoteTextChar"/>
    <w:uiPriority w:val="99"/>
    <w:semiHidden/>
    <w:unhideWhenUsed/>
    <w:rsid w:val="0060632D"/>
    <w:rPr>
      <w:sz w:val="20"/>
      <w:szCs w:val="20"/>
    </w:rPr>
  </w:style>
  <w:style w:type="character" w:customStyle="1" w:styleId="EndnoteTextChar">
    <w:name w:val="Endnote Text Char"/>
    <w:basedOn w:val="DefaultParagraphFont"/>
    <w:link w:val="EndnoteText"/>
    <w:uiPriority w:val="99"/>
    <w:semiHidden/>
    <w:rsid w:val="0060632D"/>
  </w:style>
  <w:style w:type="character" w:styleId="EndnoteReference">
    <w:name w:val="endnote reference"/>
    <w:uiPriority w:val="99"/>
    <w:semiHidden/>
    <w:unhideWhenUsed/>
    <w:rsid w:val="0060632D"/>
    <w:rPr>
      <w:vertAlign w:val="superscript"/>
    </w:rPr>
  </w:style>
  <w:style w:type="paragraph" w:styleId="Revision">
    <w:name w:val="Revision"/>
    <w:hidden/>
    <w:uiPriority w:val="99"/>
    <w:semiHidden/>
    <w:rsid w:val="00241F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99221">
      <w:bodyDiv w:val="1"/>
      <w:marLeft w:val="0"/>
      <w:marRight w:val="0"/>
      <w:marTop w:val="0"/>
      <w:marBottom w:val="0"/>
      <w:divBdr>
        <w:top w:val="none" w:sz="0" w:space="0" w:color="auto"/>
        <w:left w:val="none" w:sz="0" w:space="0" w:color="auto"/>
        <w:bottom w:val="none" w:sz="0" w:space="0" w:color="auto"/>
        <w:right w:val="none" w:sz="0" w:space="0" w:color="auto"/>
      </w:divBdr>
    </w:div>
    <w:div w:id="1283416236">
      <w:bodyDiv w:val="1"/>
      <w:marLeft w:val="0"/>
      <w:marRight w:val="0"/>
      <w:marTop w:val="0"/>
      <w:marBottom w:val="0"/>
      <w:divBdr>
        <w:top w:val="none" w:sz="0" w:space="0" w:color="auto"/>
        <w:left w:val="none" w:sz="0" w:space="0" w:color="auto"/>
        <w:bottom w:val="none" w:sz="0" w:space="0" w:color="auto"/>
        <w:right w:val="none" w:sz="0" w:space="0" w:color="auto"/>
      </w:divBdr>
      <w:divsChild>
        <w:div w:id="755446326">
          <w:marLeft w:val="0"/>
          <w:marRight w:val="0"/>
          <w:marTop w:val="0"/>
          <w:marBottom w:val="0"/>
          <w:divBdr>
            <w:top w:val="none" w:sz="0" w:space="0" w:color="auto"/>
            <w:left w:val="none" w:sz="0" w:space="0" w:color="auto"/>
            <w:bottom w:val="none" w:sz="0" w:space="0" w:color="auto"/>
            <w:right w:val="none" w:sz="0" w:space="0" w:color="auto"/>
          </w:divBdr>
          <w:divsChild>
            <w:div w:id="401760514">
              <w:marLeft w:val="0"/>
              <w:marRight w:val="0"/>
              <w:marTop w:val="0"/>
              <w:marBottom w:val="0"/>
              <w:divBdr>
                <w:top w:val="none" w:sz="0" w:space="0" w:color="auto"/>
                <w:left w:val="none" w:sz="0" w:space="0" w:color="auto"/>
                <w:bottom w:val="none" w:sz="0" w:space="0" w:color="auto"/>
                <w:right w:val="none" w:sz="0" w:space="0" w:color="auto"/>
              </w:divBdr>
            </w:div>
          </w:divsChild>
        </w:div>
        <w:div w:id="1877615766">
          <w:marLeft w:val="0"/>
          <w:marRight w:val="0"/>
          <w:marTop w:val="0"/>
          <w:marBottom w:val="0"/>
          <w:divBdr>
            <w:top w:val="none" w:sz="0" w:space="0" w:color="auto"/>
            <w:left w:val="none" w:sz="0" w:space="0" w:color="auto"/>
            <w:bottom w:val="none" w:sz="0" w:space="0" w:color="auto"/>
            <w:right w:val="none" w:sz="0" w:space="0" w:color="auto"/>
          </w:divBdr>
          <w:divsChild>
            <w:div w:id="17519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2.wmf"/><Relationship Id="rId63" Type="http://schemas.openxmlformats.org/officeDocument/2006/relationships/image" Target="media/image26.emf"/><Relationship Id="rId68" Type="http://schemas.openxmlformats.org/officeDocument/2006/relationships/package" Target="embeddings/Microsoft_Excel_Worksheet3.xlsx"/><Relationship Id="rId76" Type="http://schemas.openxmlformats.org/officeDocument/2006/relationships/package" Target="embeddings/Microsoft_Excel_Worksheet7.xlsx"/><Relationship Id="rId7" Type="http://schemas.openxmlformats.org/officeDocument/2006/relationships/footnotes" Target="foot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image" Target="media/image21.wmf"/><Relationship Id="rId58" Type="http://schemas.openxmlformats.org/officeDocument/2006/relationships/hyperlink" Target="http://www.colef.mx/emif" TargetMode="External"/><Relationship Id="rId66" Type="http://schemas.openxmlformats.org/officeDocument/2006/relationships/package" Target="embeddings/Microsoft_Excel_Worksheet2.xlsx"/><Relationship Id="rId74" Type="http://schemas.openxmlformats.org/officeDocument/2006/relationships/package" Target="embeddings/Microsoft_Excel_Worksheet6.xlsx"/><Relationship Id="rId79" Type="http://schemas.openxmlformats.org/officeDocument/2006/relationships/image" Target="media/image34.emf"/><Relationship Id="rId5" Type="http://schemas.openxmlformats.org/officeDocument/2006/relationships/settings" Target="settings.xml"/><Relationship Id="rId61" Type="http://schemas.openxmlformats.org/officeDocument/2006/relationships/image" Target="media/image25.emf"/><Relationship Id="rId82" Type="http://schemas.openxmlformats.org/officeDocument/2006/relationships/theme" Target="theme/theme1.xml"/><Relationship Id="rId10" Type="http://schemas.openxmlformats.org/officeDocument/2006/relationships/hyperlink" Target="mailto:sapearlman@vassar.edu"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0.png"/><Relationship Id="rId60" Type="http://schemas.openxmlformats.org/officeDocument/2006/relationships/image" Target="media/image24.emf"/><Relationship Id="rId65" Type="http://schemas.openxmlformats.org/officeDocument/2006/relationships/image" Target="media/image27.emf"/><Relationship Id="rId73" Type="http://schemas.openxmlformats.org/officeDocument/2006/relationships/image" Target="media/image31.emf"/><Relationship Id="rId78" Type="http://schemas.openxmlformats.org/officeDocument/2006/relationships/package" Target="embeddings/Microsoft_Excel_Worksheet8.xlsx"/><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conover@hamilton.ed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oleObject" Target="embeddings/oleObject24.bin"/><Relationship Id="rId64" Type="http://schemas.openxmlformats.org/officeDocument/2006/relationships/package" Target="embeddings/Microsoft_Excel_Worksheet1.xlsx"/><Relationship Id="rId69" Type="http://schemas.openxmlformats.org/officeDocument/2006/relationships/image" Target="media/image29.emf"/><Relationship Id="rId77" Type="http://schemas.openxmlformats.org/officeDocument/2006/relationships/image" Target="media/image33.e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package" Target="embeddings/Microsoft_Excel_Worksheet5.xlsx"/><Relationship Id="rId80" Type="http://schemas.openxmlformats.org/officeDocument/2006/relationships/package" Target="embeddings/Microsoft_Excel_Worksheet9.xlsx"/><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3.emf"/><Relationship Id="rId67" Type="http://schemas.openxmlformats.org/officeDocument/2006/relationships/image" Target="media/image28.emf"/><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footer" Target="footer1.xml"/><Relationship Id="rId70" Type="http://schemas.openxmlformats.org/officeDocument/2006/relationships/package" Target="embeddings/Microsoft_Excel_Worksheet4.xlsx"/><Relationship Id="rId75"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oleObject" Target="embeddings/oleObject25.bin"/></Relationships>
</file>

<file path=word/_rels/footnotes.xml.rels><?xml version="1.0" encoding="UTF-8" standalone="yes"?>
<Relationships xmlns="http://schemas.openxmlformats.org/package/2006/relationships"><Relationship Id="rId2" Type="http://schemas.openxmlformats.org/officeDocument/2006/relationships/hyperlink" Target="http://www.colef.mx/emif/metodologia/docsmetodologicos/Metodologia%20Emif%20Norte%20y%20Sur.pdf" TargetMode="External"/><Relationship Id="rId1" Type="http://schemas.openxmlformats.org/officeDocument/2006/relationships/hyperlink" Target="http://www.colef.mx/em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2CE5-E5EC-48BB-B096-14D4A63C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9239</Words>
  <Characters>52665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Vassar College</Company>
  <LinksUpToDate>false</LinksUpToDate>
  <CharactersWithSpaces>61781</CharactersWithSpaces>
  <SharedDoc>false</SharedDoc>
  <HLinks>
    <vt:vector size="30" baseType="variant">
      <vt:variant>
        <vt:i4>720896</vt:i4>
      </vt:variant>
      <vt:variant>
        <vt:i4>81</vt:i4>
      </vt:variant>
      <vt:variant>
        <vt:i4>0</vt:i4>
      </vt:variant>
      <vt:variant>
        <vt:i4>5</vt:i4>
      </vt:variant>
      <vt:variant>
        <vt:lpwstr>http://www.colef.mx/emif</vt:lpwstr>
      </vt:variant>
      <vt:variant>
        <vt:lpwstr/>
      </vt:variant>
      <vt:variant>
        <vt:i4>3997713</vt:i4>
      </vt:variant>
      <vt:variant>
        <vt:i4>3</vt:i4>
      </vt:variant>
      <vt:variant>
        <vt:i4>0</vt:i4>
      </vt:variant>
      <vt:variant>
        <vt:i4>5</vt:i4>
      </vt:variant>
      <vt:variant>
        <vt:lpwstr>mailto:sapearlman@vassar.edu</vt:lpwstr>
      </vt:variant>
      <vt:variant>
        <vt:lpwstr/>
      </vt:variant>
      <vt:variant>
        <vt:i4>2097167</vt:i4>
      </vt:variant>
      <vt:variant>
        <vt:i4>0</vt:i4>
      </vt:variant>
      <vt:variant>
        <vt:i4>0</vt:i4>
      </vt:variant>
      <vt:variant>
        <vt:i4>5</vt:i4>
      </vt:variant>
      <vt:variant>
        <vt:lpwstr>mailto:econover@hamilton.edu</vt:lpwstr>
      </vt:variant>
      <vt:variant>
        <vt:lpwstr/>
      </vt:variant>
      <vt:variant>
        <vt:i4>6422629</vt:i4>
      </vt:variant>
      <vt:variant>
        <vt:i4>3</vt:i4>
      </vt:variant>
      <vt:variant>
        <vt:i4>0</vt:i4>
      </vt:variant>
      <vt:variant>
        <vt:i4>5</vt:i4>
      </vt:variant>
      <vt:variant>
        <vt:lpwstr>http://www.colef.mx/emif/metodologia/docsmetodologicos/Metodologia Emif Norte y Sur.pdf</vt:lpwstr>
      </vt:variant>
      <vt:variant>
        <vt:lpwstr/>
      </vt:variant>
      <vt:variant>
        <vt:i4>720896</vt:i4>
      </vt:variant>
      <vt:variant>
        <vt:i4>0</vt:i4>
      </vt:variant>
      <vt:variant>
        <vt:i4>0</vt:i4>
      </vt:variant>
      <vt:variant>
        <vt:i4>5</vt:i4>
      </vt:variant>
      <vt:variant>
        <vt:lpwstr>http://www.colef.mx/emif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2015-01-19T22:21:00Z</cp:lastPrinted>
  <dcterms:created xsi:type="dcterms:W3CDTF">2015-04-07T22:02:00Z</dcterms:created>
  <dcterms:modified xsi:type="dcterms:W3CDTF">2015-04-07T22:07:00Z</dcterms:modified>
</cp:coreProperties>
</file>